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w:t>
      </w:r>
      <w:r w:rsidR="00552F1F">
        <w:t>1067000025</w:t>
      </w:r>
      <w:r w:rsidRPr="00A952C9">
        <w:t xml:space="preserve"> </w:t>
      </w:r>
      <w:r w:rsidR="00035165" w:rsidRPr="00A952C9">
        <w:t xml:space="preserve"> </w:t>
      </w:r>
      <w:r w:rsidR="007F67BF" w:rsidRPr="00A952C9">
        <w:t xml:space="preserve">на поставку </w:t>
      </w:r>
      <w:bookmarkStart w:id="0" w:name="_Hlk47338532"/>
      <w:r w:rsidR="005938EA">
        <w:t xml:space="preserve">изделий медицинского назначения </w:t>
      </w:r>
      <w:r w:rsidR="00817A13" w:rsidRPr="00261ED3">
        <w:t>(</w:t>
      </w:r>
      <w:r w:rsidR="00552F1F">
        <w:t>дезинфицирующие</w:t>
      </w:r>
      <w:r w:rsidR="005938EA">
        <w:t xml:space="preserve"> средства</w:t>
      </w:r>
      <w:r w:rsidR="00817A13" w:rsidRPr="00261ED3">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5E46A2" w:rsidRDefault="00C7385B" w:rsidP="00E16920">
      <w:pPr>
        <w:ind w:firstLine="709"/>
        <w:contextualSpacing/>
        <w:jc w:val="both"/>
        <w:rPr>
          <w:sz w:val="22"/>
          <w:szCs w:val="22"/>
        </w:rPr>
      </w:pPr>
      <w:r w:rsidRPr="004A7484">
        <w:rPr>
          <w:sz w:val="22"/>
          <w:szCs w:val="22"/>
          <w:lang w:val="en-US"/>
        </w:rPr>
        <w:t>E</w:t>
      </w:r>
      <w:r w:rsidRPr="005E46A2">
        <w:rPr>
          <w:sz w:val="22"/>
          <w:szCs w:val="22"/>
        </w:rPr>
        <w:t>-</w:t>
      </w:r>
      <w:r w:rsidRPr="004A7484">
        <w:rPr>
          <w:sz w:val="22"/>
          <w:szCs w:val="22"/>
          <w:lang w:val="en-US"/>
        </w:rPr>
        <w:t>mail</w:t>
      </w:r>
      <w:r w:rsidRPr="005E46A2">
        <w:rPr>
          <w:sz w:val="22"/>
          <w:szCs w:val="22"/>
        </w:rPr>
        <w:t>:</w:t>
      </w:r>
      <w:r w:rsidR="008E22C1" w:rsidRPr="005E46A2">
        <w:rPr>
          <w:bCs/>
        </w:rPr>
        <w:t xml:space="preserve"> </w:t>
      </w:r>
      <w:hyperlink r:id="rId8" w:history="1">
        <w:r w:rsidR="00B16945" w:rsidRPr="000B5FA3">
          <w:rPr>
            <w:color w:val="000000"/>
            <w:kern w:val="1"/>
            <w:lang w:val="en-US"/>
          </w:rPr>
          <w:t>nvsb</w:t>
        </w:r>
        <w:r w:rsidR="00B16945" w:rsidRPr="005E46A2">
          <w:rPr>
            <w:color w:val="000000"/>
            <w:kern w:val="1"/>
          </w:rPr>
          <w:t>5@</w:t>
        </w:r>
        <w:r w:rsidR="00B16945" w:rsidRPr="000B5FA3">
          <w:rPr>
            <w:color w:val="000000"/>
            <w:kern w:val="1"/>
            <w:lang w:val="en-US"/>
          </w:rPr>
          <w:t>mail</w:t>
        </w:r>
        <w:r w:rsidR="00B16945" w:rsidRPr="005E46A2">
          <w:rPr>
            <w:color w:val="000000"/>
            <w:kern w:val="1"/>
          </w:rPr>
          <w:t>.</w:t>
        </w:r>
        <w:proofErr w:type="spellStart"/>
        <w:r w:rsidR="00B16945" w:rsidRPr="000B5FA3">
          <w:rPr>
            <w:color w:val="000000"/>
            <w:kern w:val="1"/>
            <w:lang w:val="en-US"/>
          </w:rPr>
          <w:t>ru</w:t>
        </w:r>
        <w:proofErr w:type="spellEnd"/>
      </w:hyperlink>
      <w:r w:rsidR="008E22C1" w:rsidRPr="005E46A2">
        <w:rPr>
          <w:bCs/>
        </w:rPr>
        <w:t xml:space="preserve">, </w:t>
      </w:r>
      <w:r w:rsidRPr="004A7484">
        <w:rPr>
          <w:sz w:val="22"/>
          <w:szCs w:val="22"/>
        </w:rPr>
        <w:t>тел</w:t>
      </w:r>
      <w:r w:rsidR="008E22C1" w:rsidRPr="005E46A2">
        <w:rPr>
          <w:sz w:val="22"/>
          <w:szCs w:val="22"/>
        </w:rPr>
        <w:t xml:space="preserve">: </w:t>
      </w:r>
      <w:r w:rsidR="00B16945" w:rsidRPr="005E46A2">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817A13">
        <w:rPr>
          <w:sz w:val="22"/>
          <w:szCs w:val="22"/>
        </w:rPr>
        <w:t>4-12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Pr="00817A13"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w:t>
      </w:r>
      <w:r w:rsidRPr="00817A13">
        <w:rPr>
          <w:sz w:val="22"/>
          <w:szCs w:val="22"/>
        </w:rPr>
        <w:t xml:space="preserve"> поставки</w:t>
      </w:r>
      <w:r w:rsidR="00F57B12" w:rsidRPr="00817A13">
        <w:rPr>
          <w:sz w:val="22"/>
          <w:szCs w:val="22"/>
        </w:rPr>
        <w:t xml:space="preserve"> </w:t>
      </w:r>
      <w:r w:rsidR="005938EA">
        <w:rPr>
          <w:sz w:val="22"/>
          <w:szCs w:val="22"/>
        </w:rPr>
        <w:t>изделий медицинского назначения (</w:t>
      </w:r>
      <w:r w:rsidR="00552F1F">
        <w:rPr>
          <w:sz w:val="22"/>
          <w:szCs w:val="22"/>
        </w:rPr>
        <w:t>дезинфицирующие</w:t>
      </w:r>
      <w:r w:rsidR="005938EA">
        <w:rPr>
          <w:sz w:val="22"/>
          <w:szCs w:val="22"/>
        </w:rPr>
        <w:t xml:space="preserve"> средства).</w:t>
      </w:r>
    </w:p>
    <w:p w:rsidR="00D23331" w:rsidRDefault="00D23331" w:rsidP="00E16920">
      <w:pPr>
        <w:contextualSpacing/>
        <w:jc w:val="center"/>
        <w:rPr>
          <w:b/>
          <w:sz w:val="22"/>
          <w:szCs w:val="22"/>
        </w:rPr>
      </w:pPr>
      <w:r w:rsidRPr="004A7484">
        <w:rPr>
          <w:b/>
          <w:sz w:val="22"/>
          <w:szCs w:val="22"/>
        </w:rPr>
        <w:t>ОПИСАНИЕ ОБЪЕКТА ЗАКУПКИ</w:t>
      </w:r>
    </w:p>
    <w:p w:rsidR="005938EA" w:rsidRDefault="005938EA" w:rsidP="00E16920">
      <w:pPr>
        <w:contextualSpacing/>
        <w:jc w:val="center"/>
        <w:rPr>
          <w:b/>
          <w:sz w:val="22"/>
          <w:szCs w:val="22"/>
        </w:rPr>
      </w:pPr>
    </w:p>
    <w:tbl>
      <w:tblPr>
        <w:tblW w:w="10618" w:type="dxa"/>
        <w:tblInd w:w="279" w:type="dxa"/>
        <w:tblLayout w:type="fixed"/>
        <w:tblLook w:val="0000" w:firstRow="0" w:lastRow="0" w:firstColumn="0" w:lastColumn="0" w:noHBand="0" w:noVBand="0"/>
      </w:tblPr>
      <w:tblGrid>
        <w:gridCol w:w="794"/>
        <w:gridCol w:w="7570"/>
        <w:gridCol w:w="804"/>
        <w:gridCol w:w="1450"/>
      </w:tblGrid>
      <w:tr w:rsidR="005938EA" w:rsidTr="005938EA">
        <w:tc>
          <w:tcPr>
            <w:tcW w:w="79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w:t>
            </w:r>
          </w:p>
        </w:tc>
        <w:tc>
          <w:tcPr>
            <w:tcW w:w="7570"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Наименование</w:t>
            </w:r>
          </w:p>
        </w:tc>
        <w:tc>
          <w:tcPr>
            <w:tcW w:w="80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Ед. изм.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 xml:space="preserve">Количество </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t>1</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r>
              <w:rPr>
                <w:color w:val="000000"/>
              </w:rPr>
              <w:t>Астера гранулы 1 кг</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r>
              <w:t>бан</w:t>
            </w:r>
          </w:p>
        </w:tc>
        <w:tc>
          <w:tcPr>
            <w:tcW w:w="1450" w:type="dxa"/>
            <w:tcBorders>
              <w:left w:val="single" w:sz="4" w:space="0" w:color="000000"/>
              <w:bottom w:val="single" w:sz="4" w:space="0" w:color="000000"/>
              <w:right w:val="single" w:sz="4" w:space="0" w:color="000000"/>
            </w:tcBorders>
            <w:shd w:val="clear" w:color="auto" w:fill="auto"/>
          </w:tcPr>
          <w:p w:rsidR="00552F1F" w:rsidRPr="000450AB" w:rsidRDefault="00552F1F" w:rsidP="008A134A">
            <w:pPr>
              <w:snapToGrid w:val="0"/>
              <w:jc w:val="both"/>
              <w:rPr>
                <w:lang w:val="en-US"/>
              </w:rPr>
            </w:pPr>
            <w:r>
              <w:rPr>
                <w:lang w:val="en-US"/>
              </w:rPr>
              <w:t>12</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t>2</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r>
              <w:rPr>
                <w:color w:val="000000"/>
              </w:rPr>
              <w:t>Астера таб. №300</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r>
              <w:t>бан</w:t>
            </w:r>
          </w:p>
        </w:tc>
        <w:tc>
          <w:tcPr>
            <w:tcW w:w="1450" w:type="dxa"/>
            <w:tcBorders>
              <w:left w:val="single" w:sz="4" w:space="0" w:color="000000"/>
              <w:bottom w:val="single" w:sz="4" w:space="0" w:color="000000"/>
              <w:right w:val="single" w:sz="4" w:space="0" w:color="000000"/>
            </w:tcBorders>
            <w:shd w:val="clear" w:color="auto" w:fill="auto"/>
          </w:tcPr>
          <w:p w:rsidR="00552F1F" w:rsidRPr="000450AB" w:rsidRDefault="00552F1F" w:rsidP="008A134A">
            <w:pPr>
              <w:snapToGrid w:val="0"/>
              <w:jc w:val="both"/>
              <w:rPr>
                <w:lang w:val="en-US"/>
              </w:rPr>
            </w:pPr>
            <w:r>
              <w:rPr>
                <w:lang w:val="en-US"/>
              </w:rPr>
              <w:t>8</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t>3</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proofErr w:type="spellStart"/>
            <w:r>
              <w:rPr>
                <w:color w:val="000000"/>
              </w:rPr>
              <w:t>Миродез</w:t>
            </w:r>
            <w:proofErr w:type="spellEnd"/>
            <w:r>
              <w:rPr>
                <w:color w:val="000000"/>
              </w:rPr>
              <w:t xml:space="preserve"> </w:t>
            </w:r>
            <w:proofErr w:type="spellStart"/>
            <w:r>
              <w:rPr>
                <w:color w:val="000000"/>
              </w:rPr>
              <w:t>Базик</w:t>
            </w:r>
            <w:proofErr w:type="spellEnd"/>
            <w:r>
              <w:rPr>
                <w:color w:val="000000"/>
              </w:rPr>
              <w:t xml:space="preserve"> 1 л</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t>фл</w:t>
            </w:r>
            <w:proofErr w:type="spellEnd"/>
          </w:p>
        </w:tc>
        <w:tc>
          <w:tcPr>
            <w:tcW w:w="1450" w:type="dxa"/>
            <w:tcBorders>
              <w:left w:val="single" w:sz="4" w:space="0" w:color="000000"/>
              <w:bottom w:val="single" w:sz="4" w:space="0" w:color="000000"/>
              <w:right w:val="single" w:sz="4" w:space="0" w:color="000000"/>
            </w:tcBorders>
            <w:shd w:val="clear" w:color="auto" w:fill="auto"/>
          </w:tcPr>
          <w:p w:rsidR="00552F1F" w:rsidRPr="000450AB" w:rsidRDefault="00552F1F" w:rsidP="008A134A">
            <w:pPr>
              <w:snapToGrid w:val="0"/>
              <w:jc w:val="both"/>
              <w:rPr>
                <w:lang w:val="en-US"/>
              </w:rPr>
            </w:pPr>
            <w:r>
              <w:rPr>
                <w:lang w:val="en-US"/>
              </w:rPr>
              <w:t>260</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t>4</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r>
              <w:rPr>
                <w:color w:val="000000"/>
              </w:rPr>
              <w:t xml:space="preserve">Ника- </w:t>
            </w:r>
            <w:proofErr w:type="spellStart"/>
            <w:r>
              <w:rPr>
                <w:color w:val="000000"/>
              </w:rPr>
              <w:t>Амицид</w:t>
            </w:r>
            <w:proofErr w:type="spellEnd"/>
            <w:r>
              <w:rPr>
                <w:color w:val="000000"/>
              </w:rPr>
              <w:t xml:space="preserve"> </w:t>
            </w:r>
            <w:proofErr w:type="spellStart"/>
            <w:r>
              <w:rPr>
                <w:color w:val="000000"/>
              </w:rPr>
              <w:t>фл</w:t>
            </w:r>
            <w:proofErr w:type="spellEnd"/>
            <w:r>
              <w:rPr>
                <w:color w:val="000000"/>
              </w:rPr>
              <w:t>. 1 л</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t>фл</w:t>
            </w:r>
            <w:proofErr w:type="spellEnd"/>
          </w:p>
        </w:tc>
        <w:tc>
          <w:tcPr>
            <w:tcW w:w="1450" w:type="dxa"/>
            <w:tcBorders>
              <w:left w:val="single" w:sz="4" w:space="0" w:color="000000"/>
              <w:bottom w:val="single" w:sz="4" w:space="0" w:color="000000"/>
              <w:right w:val="single" w:sz="4" w:space="0" w:color="000000"/>
            </w:tcBorders>
            <w:shd w:val="clear" w:color="auto" w:fill="auto"/>
          </w:tcPr>
          <w:p w:rsidR="00552F1F" w:rsidRPr="000450AB" w:rsidRDefault="00552F1F" w:rsidP="008A134A">
            <w:pPr>
              <w:snapToGrid w:val="0"/>
              <w:jc w:val="both"/>
              <w:rPr>
                <w:lang w:val="en-US"/>
              </w:rPr>
            </w:pPr>
            <w:r>
              <w:t>2</w:t>
            </w:r>
            <w:r>
              <w:rPr>
                <w:lang w:val="en-US"/>
              </w:rPr>
              <w:t>5</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rPr>
                <w:color w:val="000000"/>
              </w:rPr>
              <w:t>5</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r>
              <w:rPr>
                <w:color w:val="000000"/>
              </w:rPr>
              <w:t xml:space="preserve">Ника- </w:t>
            </w:r>
            <w:proofErr w:type="spellStart"/>
            <w:r>
              <w:rPr>
                <w:color w:val="000000"/>
              </w:rPr>
              <w:t>Изосептик</w:t>
            </w:r>
            <w:proofErr w:type="spellEnd"/>
            <w:r>
              <w:rPr>
                <w:color w:val="000000"/>
              </w:rPr>
              <w:t xml:space="preserve"> </w:t>
            </w:r>
            <w:proofErr w:type="spellStart"/>
            <w:r>
              <w:rPr>
                <w:color w:val="000000"/>
              </w:rPr>
              <w:t>фл</w:t>
            </w:r>
            <w:proofErr w:type="spellEnd"/>
            <w:r>
              <w:rPr>
                <w:color w:val="000000"/>
              </w:rPr>
              <w:t xml:space="preserve">. </w:t>
            </w:r>
            <w:r>
              <w:rPr>
                <w:color w:val="000000"/>
                <w:lang w:val="en-US"/>
              </w:rPr>
              <w:t>0.</w:t>
            </w:r>
            <w:r w:rsidR="00500942">
              <w:rPr>
                <w:color w:val="000000"/>
              </w:rPr>
              <w:t>7</w:t>
            </w:r>
            <w:r>
              <w:rPr>
                <w:color w:val="000000"/>
                <w:lang w:val="en-US"/>
              </w:rPr>
              <w:t>5</w:t>
            </w:r>
            <w:r>
              <w:rPr>
                <w:color w:val="000000"/>
              </w:rPr>
              <w:t xml:space="preserve"> л</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t>фл</w:t>
            </w:r>
            <w:proofErr w:type="spellEnd"/>
          </w:p>
        </w:tc>
        <w:tc>
          <w:tcPr>
            <w:tcW w:w="1450" w:type="dxa"/>
            <w:tcBorders>
              <w:left w:val="single" w:sz="4" w:space="0" w:color="000000"/>
              <w:bottom w:val="single" w:sz="4" w:space="0" w:color="000000"/>
              <w:right w:val="single" w:sz="4" w:space="0" w:color="000000"/>
            </w:tcBorders>
            <w:shd w:val="clear" w:color="auto" w:fill="auto"/>
          </w:tcPr>
          <w:p w:rsidR="00552F1F" w:rsidRDefault="00552F1F" w:rsidP="008A134A">
            <w:pPr>
              <w:snapToGrid w:val="0"/>
              <w:jc w:val="both"/>
            </w:pPr>
            <w:r>
              <w:rPr>
                <w:lang w:val="en-US"/>
              </w:rPr>
              <w:t>5</w:t>
            </w:r>
            <w:r>
              <w:t>0</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rPr>
                <w:color w:val="000000"/>
              </w:rPr>
              <w:t>6</w:t>
            </w:r>
          </w:p>
        </w:tc>
        <w:tc>
          <w:tcPr>
            <w:tcW w:w="7570" w:type="dxa"/>
            <w:tcBorders>
              <w:left w:val="single" w:sz="4" w:space="0" w:color="000000"/>
              <w:bottom w:val="single" w:sz="4" w:space="0" w:color="000000"/>
            </w:tcBorders>
            <w:shd w:val="clear" w:color="auto" w:fill="auto"/>
          </w:tcPr>
          <w:p w:rsidR="00552F1F" w:rsidRDefault="00552F1F" w:rsidP="008A134A">
            <w:pPr>
              <w:spacing w:line="100" w:lineRule="atLeast"/>
            </w:pPr>
            <w:r>
              <w:rPr>
                <w:color w:val="000000"/>
              </w:rPr>
              <w:t xml:space="preserve">Ника- </w:t>
            </w:r>
            <w:proofErr w:type="spellStart"/>
            <w:r>
              <w:rPr>
                <w:color w:val="000000"/>
              </w:rPr>
              <w:t>Изосептик</w:t>
            </w:r>
            <w:proofErr w:type="spellEnd"/>
            <w:r>
              <w:rPr>
                <w:color w:val="000000"/>
              </w:rPr>
              <w:t xml:space="preserve"> </w:t>
            </w:r>
            <w:proofErr w:type="spellStart"/>
            <w:r>
              <w:rPr>
                <w:color w:val="000000"/>
              </w:rPr>
              <w:t>фл</w:t>
            </w:r>
            <w:proofErr w:type="spellEnd"/>
            <w:r>
              <w:rPr>
                <w:color w:val="000000"/>
              </w:rPr>
              <w:t>. 1 л</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t>фл</w:t>
            </w:r>
            <w:proofErr w:type="spellEnd"/>
          </w:p>
        </w:tc>
        <w:tc>
          <w:tcPr>
            <w:tcW w:w="1450" w:type="dxa"/>
            <w:tcBorders>
              <w:left w:val="single" w:sz="4" w:space="0" w:color="000000"/>
              <w:bottom w:val="single" w:sz="4" w:space="0" w:color="000000"/>
              <w:right w:val="single" w:sz="4" w:space="0" w:color="000000"/>
            </w:tcBorders>
            <w:shd w:val="clear" w:color="auto" w:fill="auto"/>
          </w:tcPr>
          <w:p w:rsidR="00552F1F" w:rsidRDefault="00552F1F" w:rsidP="008A134A">
            <w:pPr>
              <w:snapToGrid w:val="0"/>
              <w:jc w:val="both"/>
            </w:pPr>
            <w:r>
              <w:rPr>
                <w:lang w:val="en-US"/>
              </w:rPr>
              <w:t>24</w:t>
            </w:r>
            <w:r>
              <w:t>0</w:t>
            </w:r>
          </w:p>
        </w:tc>
      </w:tr>
      <w:tr w:rsidR="00552F1F" w:rsidTr="005938EA">
        <w:tc>
          <w:tcPr>
            <w:tcW w:w="794" w:type="dxa"/>
            <w:tcBorders>
              <w:left w:val="single" w:sz="4" w:space="0" w:color="000000"/>
              <w:bottom w:val="single" w:sz="4" w:space="0" w:color="000000"/>
            </w:tcBorders>
            <w:shd w:val="clear" w:color="auto" w:fill="auto"/>
          </w:tcPr>
          <w:p w:rsidR="00552F1F" w:rsidRDefault="00552F1F" w:rsidP="002D75A3">
            <w:pPr>
              <w:snapToGrid w:val="0"/>
              <w:jc w:val="both"/>
              <w:rPr>
                <w:color w:val="000000"/>
              </w:rPr>
            </w:pPr>
            <w:r>
              <w:rPr>
                <w:color w:val="000000"/>
              </w:rPr>
              <w:t>7</w:t>
            </w:r>
          </w:p>
        </w:tc>
        <w:tc>
          <w:tcPr>
            <w:tcW w:w="7570" w:type="dxa"/>
            <w:tcBorders>
              <w:left w:val="single" w:sz="4" w:space="0" w:color="000000"/>
              <w:bottom w:val="single" w:sz="4" w:space="0" w:color="000000"/>
            </w:tcBorders>
            <w:shd w:val="clear" w:color="auto" w:fill="auto"/>
          </w:tcPr>
          <w:p w:rsidR="00552F1F" w:rsidRDefault="00552F1F" w:rsidP="008A134A">
            <w:pPr>
              <w:snapToGrid w:val="0"/>
              <w:spacing w:line="100" w:lineRule="atLeast"/>
            </w:pPr>
            <w:proofErr w:type="spellStart"/>
            <w:r>
              <w:rPr>
                <w:color w:val="000000"/>
              </w:rPr>
              <w:t>Хлормисепт</w:t>
            </w:r>
            <w:proofErr w:type="spellEnd"/>
            <w:r>
              <w:rPr>
                <w:color w:val="000000"/>
              </w:rPr>
              <w:t xml:space="preserve"> Люкс </w:t>
            </w:r>
            <w:proofErr w:type="spellStart"/>
            <w:r>
              <w:rPr>
                <w:color w:val="000000"/>
              </w:rPr>
              <w:t>таб</w:t>
            </w:r>
            <w:proofErr w:type="spellEnd"/>
            <w:r>
              <w:rPr>
                <w:color w:val="000000"/>
              </w:rPr>
              <w:t xml:space="preserve"> №300</w:t>
            </w:r>
          </w:p>
        </w:tc>
        <w:tc>
          <w:tcPr>
            <w:tcW w:w="804"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t>уп</w:t>
            </w:r>
            <w:proofErr w:type="spellEnd"/>
          </w:p>
        </w:tc>
        <w:tc>
          <w:tcPr>
            <w:tcW w:w="1450" w:type="dxa"/>
            <w:tcBorders>
              <w:left w:val="single" w:sz="4" w:space="0" w:color="000000"/>
              <w:bottom w:val="single" w:sz="4" w:space="0" w:color="000000"/>
              <w:right w:val="single" w:sz="4" w:space="0" w:color="000000"/>
            </w:tcBorders>
            <w:shd w:val="clear" w:color="auto" w:fill="auto"/>
          </w:tcPr>
          <w:p w:rsidR="00552F1F" w:rsidRDefault="00552F1F" w:rsidP="008A134A">
            <w:pPr>
              <w:snapToGrid w:val="0"/>
              <w:jc w:val="both"/>
            </w:pPr>
            <w:r>
              <w:rPr>
                <w:lang w:val="en-US"/>
              </w:rPr>
              <w:t>10</w:t>
            </w:r>
            <w:r>
              <w:t>0</w:t>
            </w:r>
          </w:p>
        </w:tc>
      </w:tr>
    </w:tbl>
    <w:p w:rsidR="005938EA" w:rsidRPr="004A7484" w:rsidRDefault="005938EA" w:rsidP="00E16920">
      <w:pPr>
        <w:contextualSpacing/>
        <w:jc w:val="center"/>
        <w:rPr>
          <w:b/>
          <w:sz w:val="22"/>
          <w:szCs w:val="22"/>
        </w:rPr>
      </w:pPr>
    </w:p>
    <w:p w:rsidR="00AE4E9A" w:rsidRPr="004A7484" w:rsidRDefault="00AE4E9A" w:rsidP="00E16920">
      <w:pPr>
        <w:contextualSpacing/>
        <w:jc w:val="center"/>
        <w:rPr>
          <w:sz w:val="22"/>
          <w:szCs w:val="22"/>
        </w:rPr>
      </w:pPr>
    </w:p>
    <w:p w:rsidR="005938EA" w:rsidRPr="00E9689D" w:rsidRDefault="00B4680B" w:rsidP="005938EA">
      <w:pPr>
        <w:ind w:firstLine="708"/>
        <w:jc w:val="both"/>
        <w:rPr>
          <w:bCs/>
        </w:rPr>
      </w:pPr>
      <w:r w:rsidRPr="00E9689D">
        <w:rPr>
          <w:bCs/>
        </w:rPr>
        <w:t xml:space="preserve">Максимальная сумма не более </w:t>
      </w:r>
      <w:r w:rsidR="00552F1F" w:rsidRPr="00E9689D">
        <w:rPr>
          <w:b/>
          <w:bCs/>
        </w:rPr>
        <w:t>366 195(Триста шестьдесят шесть тысяч сто девяносто пять) рублей 40 копеек</w:t>
      </w:r>
      <w:r w:rsidR="00552F1F" w:rsidRPr="00E9689D">
        <w:rPr>
          <w:bCs/>
        </w:rPr>
        <w:t xml:space="preserve"> </w:t>
      </w:r>
      <w:r w:rsidR="005938EA" w:rsidRPr="00E9689D">
        <w:rPr>
          <w:bCs/>
        </w:rPr>
        <w:t>с учетом всех налогов и сборов.</w:t>
      </w:r>
    </w:p>
    <w:p w:rsidR="005938EA" w:rsidRPr="00E9689D" w:rsidRDefault="005E46A2" w:rsidP="005938EA">
      <w:pPr>
        <w:jc w:val="both"/>
        <w:rPr>
          <w:rFonts w:eastAsiaTheme="minorEastAsia"/>
        </w:rPr>
      </w:pPr>
      <w:r w:rsidRPr="00E9689D">
        <w:t xml:space="preserve">            </w:t>
      </w:r>
      <w:r w:rsidR="00C87E8F" w:rsidRPr="00E9689D">
        <w:t xml:space="preserve">Лимит договора составляет </w:t>
      </w:r>
      <w:r w:rsidR="00552F1F" w:rsidRPr="00E9689D">
        <w:rPr>
          <w:b/>
          <w:bCs/>
        </w:rPr>
        <w:t>366 195(Триста шестьдесят шесть тысяч сто девяносто пять) рублей 40 копеек</w:t>
      </w:r>
      <w:r w:rsidR="00552F1F" w:rsidRPr="00E9689D">
        <w:rPr>
          <w:rFonts w:eastAsiaTheme="minorEastAsia"/>
        </w:rPr>
        <w:t xml:space="preserve"> </w:t>
      </w:r>
      <w:r w:rsidR="005938EA" w:rsidRPr="00E9689D">
        <w:rPr>
          <w:rFonts w:eastAsiaTheme="minorEastAsia"/>
        </w:rPr>
        <w:t>с учетом всех налогов и сборов.</w:t>
      </w:r>
    </w:p>
    <w:p w:rsidR="005E46A2" w:rsidRPr="00E9689D" w:rsidRDefault="005E46A2" w:rsidP="005E46A2">
      <w:pPr>
        <w:jc w:val="both"/>
        <w:rPr>
          <w:rFonts w:eastAsiaTheme="minorEastAsia"/>
          <w:b/>
          <w:bCs/>
        </w:rPr>
      </w:pPr>
      <w:r w:rsidRPr="00E9689D">
        <w:rPr>
          <w:rFonts w:eastAsiaTheme="minorEastAsia"/>
          <w:b/>
          <w:bCs/>
        </w:rPr>
        <w:t xml:space="preserve"> </w:t>
      </w:r>
      <w:r w:rsidRPr="00E9689D">
        <w:rPr>
          <w:rFonts w:eastAsiaTheme="minorEastAsia"/>
        </w:rPr>
        <w:t>с учетом всех налогов и сборов.</w:t>
      </w:r>
    </w:p>
    <w:p w:rsidR="007002D2" w:rsidRPr="00E9689D" w:rsidRDefault="007002D2" w:rsidP="00E42C37">
      <w:pPr>
        <w:ind w:firstLine="708"/>
        <w:jc w:val="both"/>
        <w:rPr>
          <w:bCs/>
          <w:sz w:val="22"/>
          <w:szCs w:val="22"/>
        </w:rPr>
      </w:pPr>
      <w:r w:rsidRPr="00E9689D">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w:t>
      </w:r>
      <w:r w:rsidR="00131C12" w:rsidRPr="00E9689D">
        <w:rPr>
          <w:bCs/>
          <w:sz w:val="22"/>
          <w:szCs w:val="22"/>
        </w:rPr>
        <w:t xml:space="preserve">на сайте заказчика: </w:t>
      </w:r>
      <w:hyperlink r:id="rId9" w:history="1">
        <w:r w:rsidR="00B16945" w:rsidRPr="00E9689D">
          <w:rPr>
            <w:rStyle w:val="a6"/>
            <w:bCs/>
            <w:color w:val="auto"/>
          </w:rPr>
          <w:t>www.</w:t>
        </w:r>
        <w:r w:rsidR="00B16945" w:rsidRPr="00E9689D">
          <w:rPr>
            <w:rStyle w:val="a6"/>
            <w:bCs/>
            <w:color w:val="auto"/>
            <w:lang w:val="en-US"/>
          </w:rPr>
          <w:t>ob</w:t>
        </w:r>
        <w:r w:rsidR="00B16945" w:rsidRPr="00E9689D">
          <w:rPr>
            <w:rStyle w:val="a6"/>
            <w:bCs/>
            <w:color w:val="auto"/>
          </w:rPr>
          <w:t>-</w:t>
        </w:r>
        <w:r w:rsidR="00B16945" w:rsidRPr="00E9689D">
          <w:rPr>
            <w:rStyle w:val="a6"/>
            <w:bCs/>
            <w:color w:val="auto"/>
            <w:lang w:val="en-US"/>
          </w:rPr>
          <w:t>ulyanovsk</w:t>
        </w:r>
        <w:r w:rsidR="00B16945" w:rsidRPr="00E9689D">
          <w:rPr>
            <w:rStyle w:val="a6"/>
            <w:bCs/>
            <w:color w:val="auto"/>
          </w:rPr>
          <w:t>.</w:t>
        </w:r>
        <w:proofErr w:type="spellStart"/>
        <w:r w:rsidR="00B16945" w:rsidRPr="00E9689D">
          <w:rPr>
            <w:rStyle w:val="a6"/>
            <w:bCs/>
            <w:color w:val="auto"/>
            <w:lang w:val="en-US"/>
          </w:rPr>
          <w:t>ru</w:t>
        </w:r>
        <w:proofErr w:type="spellEnd"/>
      </w:hyperlink>
      <w:r w:rsidR="00B16945" w:rsidRPr="00E9689D">
        <w:rPr>
          <w:bCs/>
        </w:rPr>
        <w:t xml:space="preserve"> </w:t>
      </w:r>
      <w:r w:rsidR="00131C12" w:rsidRPr="00E9689D">
        <w:t xml:space="preserve">в разделе </w:t>
      </w:r>
      <w:r w:rsidR="00D918DD" w:rsidRPr="00E9689D">
        <w:t xml:space="preserve">- </w:t>
      </w:r>
      <w:r w:rsidR="00131C12" w:rsidRPr="00E9689D">
        <w:t>О нас/Закупки.</w:t>
      </w:r>
    </w:p>
    <w:p w:rsidR="00B4680B" w:rsidRPr="00E9689D"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E9689D">
        <w:rPr>
          <w:b/>
          <w:bCs/>
          <w:sz w:val="22"/>
          <w:szCs w:val="22"/>
        </w:rPr>
        <w:t>Условия исполнени</w:t>
      </w:r>
      <w:bookmarkStart w:id="1" w:name="_GoBack"/>
      <w:bookmarkEnd w:id="1"/>
      <w:r w:rsidRPr="00E9689D">
        <w:rPr>
          <w:b/>
          <w:bCs/>
          <w:sz w:val="22"/>
          <w:szCs w:val="22"/>
        </w:rPr>
        <w:t>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74006E" w:rsidRPr="006A3148" w:rsidRDefault="00B4680B" w:rsidP="0074006E">
      <w:pPr>
        <w:pStyle w:val="aff"/>
        <w:numPr>
          <w:ilvl w:val="0"/>
          <w:numId w:val="10"/>
        </w:numPr>
        <w:ind w:left="426"/>
        <w:jc w:val="both"/>
        <w:rPr>
          <w:sz w:val="22"/>
          <w:szCs w:val="22"/>
        </w:rPr>
      </w:pPr>
      <w:r w:rsidRPr="0074006E">
        <w:rPr>
          <w:b/>
          <w:bCs/>
          <w:sz w:val="22"/>
          <w:szCs w:val="22"/>
        </w:rPr>
        <w:t xml:space="preserve">Сроки и условия поставки товаров: </w:t>
      </w:r>
      <w:r w:rsidR="0074006E" w:rsidRPr="006A3148">
        <w:rPr>
          <w:sz w:val="22"/>
          <w:szCs w:val="22"/>
        </w:rPr>
        <w:t>Объем и срок поставки каждой партии Товара определяется</w:t>
      </w:r>
    </w:p>
    <w:p w:rsidR="0074006E" w:rsidRPr="006A3148" w:rsidRDefault="0074006E" w:rsidP="0074006E">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74006E" w:rsidRPr="0074006E" w:rsidRDefault="0074006E" w:rsidP="0074006E">
      <w:pPr>
        <w:jc w:val="both"/>
        <w:rPr>
          <w:spacing w:val="-9"/>
          <w:sz w:val="22"/>
          <w:szCs w:val="22"/>
        </w:rPr>
      </w:pPr>
    </w:p>
    <w:p w:rsidR="00B4680B" w:rsidRPr="0074006E" w:rsidRDefault="00B4680B" w:rsidP="002E700F">
      <w:pPr>
        <w:pStyle w:val="aff"/>
        <w:numPr>
          <w:ilvl w:val="0"/>
          <w:numId w:val="10"/>
        </w:numPr>
        <w:ind w:left="426"/>
        <w:jc w:val="both"/>
        <w:rPr>
          <w:spacing w:val="-9"/>
          <w:sz w:val="22"/>
          <w:szCs w:val="22"/>
        </w:rPr>
      </w:pPr>
      <w:r w:rsidRPr="0074006E">
        <w:rPr>
          <w:b/>
          <w:bCs/>
          <w:sz w:val="22"/>
          <w:szCs w:val="22"/>
        </w:rPr>
        <w:t>Стоимость товаров должна включать:</w:t>
      </w:r>
      <w:r w:rsidRPr="0074006E">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74006E" w:rsidRPr="0074006E" w:rsidRDefault="00B4680B" w:rsidP="00F21A2F">
      <w:pPr>
        <w:pStyle w:val="aff"/>
        <w:numPr>
          <w:ilvl w:val="0"/>
          <w:numId w:val="10"/>
        </w:numPr>
        <w:ind w:left="426"/>
        <w:jc w:val="both"/>
        <w:rPr>
          <w:b/>
          <w:bCs/>
          <w:sz w:val="22"/>
          <w:szCs w:val="22"/>
        </w:rPr>
      </w:pPr>
      <w:r w:rsidRPr="0074006E">
        <w:rPr>
          <w:b/>
          <w:bCs/>
          <w:sz w:val="22"/>
          <w:szCs w:val="22"/>
        </w:rPr>
        <w:t xml:space="preserve">Срок и условия оплаты: </w:t>
      </w:r>
      <w:r w:rsidR="0074006E" w:rsidRPr="006A3148">
        <w:rPr>
          <w:kern w:val="1"/>
          <w:sz w:val="22"/>
          <w:szCs w:val="22"/>
          <w:lang w:eastAsia="hi-IN" w:bidi="hi-IN"/>
        </w:rPr>
        <w:t>Оплата Товара производится Покупателем путем перечисления</w:t>
      </w:r>
      <w:r w:rsidR="0074006E">
        <w:rPr>
          <w:kern w:val="1"/>
          <w:sz w:val="22"/>
          <w:szCs w:val="22"/>
          <w:lang w:eastAsia="hi-IN" w:bidi="hi-IN"/>
        </w:rPr>
        <w:t xml:space="preserve"> </w:t>
      </w:r>
      <w:r w:rsidR="0074006E" w:rsidRPr="0074006E">
        <w:rPr>
          <w:noProof/>
        </w:rPr>
        <w:drawing>
          <wp:inline distT="0" distB="0" distL="0" distR="0">
            <wp:extent cx="674941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9415" cy="158750"/>
                    </a:xfrm>
                    <a:prstGeom prst="rect">
                      <a:avLst/>
                    </a:prstGeom>
                    <a:noFill/>
                    <a:ln>
                      <a:noFill/>
                    </a:ln>
                  </pic:spPr>
                </pic:pic>
              </a:graphicData>
            </a:graphic>
          </wp:inline>
        </w:drawing>
      </w:r>
    </w:p>
    <w:p w:rsidR="00B4680B" w:rsidRPr="0074006E" w:rsidRDefault="00B4680B" w:rsidP="00F21A2F">
      <w:pPr>
        <w:pStyle w:val="aff"/>
        <w:numPr>
          <w:ilvl w:val="0"/>
          <w:numId w:val="10"/>
        </w:numPr>
        <w:ind w:left="426"/>
        <w:jc w:val="both"/>
        <w:rPr>
          <w:b/>
          <w:bCs/>
          <w:sz w:val="22"/>
          <w:szCs w:val="22"/>
        </w:rPr>
      </w:pPr>
      <w:r w:rsidRPr="0074006E">
        <w:rPr>
          <w:b/>
          <w:bCs/>
          <w:sz w:val="22"/>
          <w:szCs w:val="22"/>
        </w:rPr>
        <w:t xml:space="preserve">Особые условия: </w:t>
      </w:r>
      <w:r w:rsidRPr="0074006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74006E">
        <w:rPr>
          <w:bCs/>
          <w:sz w:val="22"/>
          <w:szCs w:val="22"/>
          <w:u w:val="single"/>
        </w:rPr>
        <w:t>не должен быть хуже,</w:t>
      </w:r>
      <w:r w:rsidRPr="0074006E">
        <w:rPr>
          <w:bCs/>
          <w:sz w:val="22"/>
          <w:szCs w:val="22"/>
        </w:rPr>
        <w:t xml:space="preserve"> а по некоторым критериям даже лучше (либо аналогичным), чем те, которые были предложены Заказчиком в </w:t>
      </w:r>
      <w:r w:rsidR="00896642" w:rsidRPr="0074006E">
        <w:rPr>
          <w:bCs/>
          <w:sz w:val="22"/>
          <w:szCs w:val="22"/>
        </w:rPr>
        <w:t>котировочной документации</w:t>
      </w:r>
      <w:r w:rsidRPr="0074006E">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5938EA">
        <w:rPr>
          <w:b/>
          <w:bCs/>
          <w:sz w:val="22"/>
          <w:szCs w:val="22"/>
        </w:rPr>
        <w:t>14</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74006E">
        <w:rPr>
          <w:b/>
          <w:bCs/>
          <w:sz w:val="22"/>
          <w:szCs w:val="22"/>
        </w:rPr>
        <w:t>7</w:t>
      </w:r>
      <w:r w:rsidR="00185DC7" w:rsidRPr="00990173">
        <w:rPr>
          <w:b/>
          <w:bCs/>
          <w:sz w:val="22"/>
          <w:szCs w:val="22"/>
        </w:rPr>
        <w:t>.</w:t>
      </w:r>
      <w:r w:rsidR="0074006E">
        <w:rPr>
          <w:b/>
          <w:bCs/>
          <w:sz w:val="22"/>
          <w:szCs w:val="22"/>
        </w:rPr>
        <w:t>0</w:t>
      </w:r>
      <w:r w:rsidR="00185DC7" w:rsidRPr="00990173">
        <w:rPr>
          <w:b/>
          <w:bCs/>
          <w:sz w:val="22"/>
          <w:szCs w:val="22"/>
        </w:rPr>
        <w:t>0</w:t>
      </w:r>
      <w:r w:rsidRPr="00990173">
        <w:rPr>
          <w:b/>
          <w:bCs/>
          <w:sz w:val="22"/>
          <w:szCs w:val="22"/>
        </w:rPr>
        <w:t xml:space="preserve">     </w:t>
      </w:r>
      <w:r w:rsidR="005938EA">
        <w:rPr>
          <w:b/>
          <w:bCs/>
          <w:sz w:val="22"/>
          <w:szCs w:val="22"/>
        </w:rPr>
        <w:t>18</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5938EA">
        <w:rPr>
          <w:b/>
          <w:bCs/>
          <w:sz w:val="22"/>
          <w:szCs w:val="22"/>
        </w:rPr>
        <w:t>21</w:t>
      </w:r>
      <w:r w:rsidR="007E0BB6" w:rsidRPr="00990173">
        <w:rPr>
          <w:b/>
          <w:bCs/>
          <w:sz w:val="22"/>
          <w:szCs w:val="22"/>
        </w:rPr>
        <w:t>.</w:t>
      </w:r>
      <w:r w:rsidR="005938EA">
        <w:rPr>
          <w:b/>
          <w:bCs/>
          <w:sz w:val="22"/>
          <w:szCs w:val="22"/>
        </w:rPr>
        <w:t>12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w:t>
      </w:r>
      <w:r w:rsidRPr="004A7484">
        <w:rPr>
          <w:bCs/>
          <w:sz w:val="22"/>
          <w:szCs w:val="22"/>
        </w:rPr>
        <w:lastRenderedPageBreak/>
        <w:t>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w:t>
      </w:r>
      <w:r w:rsidRPr="004A7484">
        <w:rPr>
          <w:bCs/>
          <w:sz w:val="22"/>
          <w:szCs w:val="22"/>
        </w:rPr>
        <w:lastRenderedPageBreak/>
        <w:t>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lastRenderedPageBreak/>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lastRenderedPageBreak/>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участника, не соответствующая требованиям котировочной </w:t>
      </w:r>
      <w:r w:rsidRPr="004A7484">
        <w:rPr>
          <w:sz w:val="22"/>
          <w:szCs w:val="22"/>
        </w:rPr>
        <w:lastRenderedPageBreak/>
        <w:t>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 xml:space="preserve">непроведение ликвидации участника закупки − юридического лица и отсутствие решения </w:t>
      </w:r>
      <w:r w:rsidRPr="004D10CF">
        <w:rPr>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2"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lastRenderedPageBreak/>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552F1F" w:rsidRDefault="00552F1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1090" w:type="dxa"/>
        <w:tblInd w:w="-337" w:type="dxa"/>
        <w:tblLayout w:type="fixed"/>
        <w:tblLook w:val="0000" w:firstRow="0" w:lastRow="0" w:firstColumn="0" w:lastColumn="0" w:noHBand="0" w:noVBand="0"/>
      </w:tblPr>
      <w:tblGrid>
        <w:gridCol w:w="540"/>
        <w:gridCol w:w="1830"/>
        <w:gridCol w:w="6885"/>
        <w:gridCol w:w="660"/>
        <w:gridCol w:w="1175"/>
      </w:tblGrid>
      <w:tr w:rsidR="005938EA" w:rsidRPr="005938EA" w:rsidTr="00552F1F">
        <w:trPr>
          <w:trHeight w:val="518"/>
        </w:trPr>
        <w:tc>
          <w:tcPr>
            <w:tcW w:w="54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eastAsia="Calibri"/>
                <w:b/>
                <w:sz w:val="22"/>
                <w:szCs w:val="22"/>
                <w:lang w:eastAsia="ar-SA"/>
              </w:rPr>
            </w:pPr>
            <w:r w:rsidRPr="005938EA">
              <w:rPr>
                <w:rFonts w:eastAsia="Calibri"/>
                <w:b/>
                <w:sz w:val="22"/>
                <w:szCs w:val="22"/>
                <w:lang w:eastAsia="ar-SA"/>
              </w:rPr>
              <w:t>№</w:t>
            </w:r>
            <w:r w:rsidRPr="005938EA">
              <w:rPr>
                <w:b/>
                <w:sz w:val="22"/>
                <w:szCs w:val="22"/>
                <w:lang w:eastAsia="ar-SA"/>
              </w:rPr>
              <w:t xml:space="preserve"> </w:t>
            </w:r>
            <w:r w:rsidRPr="005938EA">
              <w:rPr>
                <w:rFonts w:eastAsia="Calibri"/>
                <w:b/>
                <w:sz w:val="22"/>
                <w:szCs w:val="22"/>
                <w:lang w:eastAsia="ar-SA"/>
              </w:rPr>
              <w:t>п/п</w:t>
            </w:r>
          </w:p>
        </w:tc>
        <w:tc>
          <w:tcPr>
            <w:tcW w:w="183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eastAsia="Calibri"/>
                <w:b/>
                <w:sz w:val="22"/>
                <w:szCs w:val="22"/>
                <w:lang w:eastAsia="ar-SA"/>
              </w:rPr>
            </w:pPr>
            <w:r w:rsidRPr="005938EA">
              <w:rPr>
                <w:rFonts w:eastAsia="Calibri"/>
                <w:b/>
                <w:sz w:val="22"/>
                <w:szCs w:val="22"/>
                <w:lang w:eastAsia="ar-SA"/>
              </w:rPr>
              <w:t>Наименование</w:t>
            </w:r>
          </w:p>
        </w:tc>
        <w:tc>
          <w:tcPr>
            <w:tcW w:w="6885"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jc w:val="center"/>
              <w:rPr>
                <w:rFonts w:ascii="Calibri" w:eastAsia="Calibri" w:hAnsi="Calibri" w:cs="Calibri"/>
                <w:b/>
                <w:bCs/>
                <w:sz w:val="22"/>
                <w:szCs w:val="22"/>
                <w:lang w:eastAsia="ar-SA"/>
              </w:rPr>
            </w:pPr>
            <w:r w:rsidRPr="005938EA">
              <w:rPr>
                <w:rFonts w:eastAsia="Calibri"/>
                <w:b/>
                <w:sz w:val="22"/>
                <w:szCs w:val="22"/>
                <w:lang w:eastAsia="ar-SA"/>
              </w:rPr>
              <w:t>Назначение</w:t>
            </w:r>
          </w:p>
        </w:tc>
        <w:tc>
          <w:tcPr>
            <w:tcW w:w="660" w:type="dxa"/>
            <w:tcBorders>
              <w:top w:val="single" w:sz="4" w:space="0" w:color="000000"/>
              <w:left w:val="single" w:sz="4" w:space="0" w:color="000000"/>
              <w:bottom w:val="single" w:sz="4" w:space="0" w:color="000000"/>
            </w:tcBorders>
            <w:shd w:val="clear" w:color="auto" w:fill="auto"/>
            <w:vAlign w:val="center"/>
          </w:tcPr>
          <w:p w:rsidR="005938EA" w:rsidRPr="005938EA" w:rsidRDefault="005938EA" w:rsidP="005938EA">
            <w:pPr>
              <w:suppressAutoHyphens/>
              <w:snapToGrid w:val="0"/>
              <w:jc w:val="center"/>
              <w:textAlignment w:val="baseline"/>
              <w:rPr>
                <w:b/>
                <w:bCs/>
                <w:color w:val="000000"/>
                <w:kern w:val="1"/>
                <w:lang w:eastAsia="hi-IN" w:bidi="hi-IN"/>
              </w:rPr>
            </w:pPr>
            <w:r w:rsidRPr="005938EA">
              <w:rPr>
                <w:b/>
                <w:bCs/>
                <w:color w:val="000000"/>
                <w:kern w:val="1"/>
                <w:lang w:eastAsia="hi-IN" w:bidi="hi-IN"/>
              </w:rPr>
              <w:t xml:space="preserve">Ед. </w:t>
            </w:r>
            <w:proofErr w:type="spellStart"/>
            <w:r w:rsidRPr="005938EA">
              <w:rPr>
                <w:b/>
                <w:bCs/>
                <w:color w:val="000000"/>
                <w:kern w:val="1"/>
                <w:lang w:eastAsia="hi-IN" w:bidi="hi-IN"/>
              </w:rPr>
              <w:t>изм</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8EA" w:rsidRPr="005938EA" w:rsidRDefault="005938EA" w:rsidP="005938EA">
            <w:pPr>
              <w:suppressAutoHyphens/>
              <w:snapToGrid w:val="0"/>
              <w:ind w:left="5" w:right="5"/>
              <w:jc w:val="center"/>
              <w:textAlignment w:val="baseline"/>
              <w:rPr>
                <w:color w:val="000000"/>
                <w:kern w:val="1"/>
                <w:lang w:eastAsia="hi-IN" w:bidi="hi-IN"/>
              </w:rPr>
            </w:pPr>
            <w:r w:rsidRPr="005938EA">
              <w:rPr>
                <w:b/>
                <w:bCs/>
                <w:color w:val="000000"/>
                <w:kern w:val="1"/>
                <w:lang w:eastAsia="hi-IN" w:bidi="hi-IN"/>
              </w:rPr>
              <w:t>Кол-во</w:t>
            </w:r>
          </w:p>
        </w:tc>
      </w:tr>
      <w:tr w:rsidR="00552F1F" w:rsidRPr="005938EA" w:rsidTr="00552F1F">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kern w:val="1"/>
                <w:sz w:val="20"/>
                <w:szCs w:val="20"/>
                <w:lang w:eastAsia="ar-SA"/>
              </w:rPr>
              <w:t>1</w:t>
            </w:r>
          </w:p>
        </w:tc>
        <w:tc>
          <w:tcPr>
            <w:tcW w:w="1830" w:type="dxa"/>
            <w:tcBorders>
              <w:top w:val="single" w:sz="4" w:space="0" w:color="000000"/>
              <w:left w:val="single" w:sz="4" w:space="0" w:color="000000"/>
              <w:bottom w:val="single" w:sz="4" w:space="0" w:color="000000"/>
            </w:tcBorders>
            <w:shd w:val="clear" w:color="auto" w:fill="auto"/>
            <w:vAlign w:val="center"/>
          </w:tcPr>
          <w:p w:rsidR="00552F1F" w:rsidRDefault="00552F1F" w:rsidP="008A134A">
            <w:pPr>
              <w:spacing w:line="100" w:lineRule="atLeast"/>
              <w:rPr>
                <w:rStyle w:val="apple-style-span"/>
                <w:sz w:val="21"/>
                <w:szCs w:val="21"/>
              </w:rPr>
            </w:pPr>
            <w:r>
              <w:rPr>
                <w:color w:val="000000"/>
              </w:rPr>
              <w:t>Астера гранулы 1 кг</w:t>
            </w:r>
          </w:p>
        </w:tc>
        <w:tc>
          <w:tcPr>
            <w:tcW w:w="6885"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jc w:val="both"/>
              <w:rPr>
                <w:rStyle w:val="apple-style-span"/>
                <w:sz w:val="21"/>
                <w:szCs w:val="21"/>
              </w:rPr>
            </w:pPr>
            <w:r>
              <w:rPr>
                <w:rStyle w:val="apple-style-span"/>
                <w:sz w:val="21"/>
                <w:szCs w:val="21"/>
              </w:rPr>
              <w:t>- гранулы, содержащее в качестве активной основы хлорсодержащие соединения не менее 99%, выделяющие свободный хлор не менее 55%;</w:t>
            </w:r>
          </w:p>
          <w:p w:rsidR="00552F1F" w:rsidRDefault="00552F1F" w:rsidP="008A134A">
            <w:pPr>
              <w:jc w:val="both"/>
              <w:rPr>
                <w:rStyle w:val="apple-style-span"/>
                <w:rFonts w:cs="Liberation Serif"/>
                <w:sz w:val="21"/>
                <w:szCs w:val="21"/>
              </w:rPr>
            </w:pPr>
            <w:r>
              <w:rPr>
                <w:rStyle w:val="apple-style-span"/>
                <w:sz w:val="21"/>
                <w:szCs w:val="21"/>
              </w:rPr>
              <w:t xml:space="preserve">- не должно содержать альдегидов и перекисных соединений, производных </w:t>
            </w:r>
            <w:proofErr w:type="spellStart"/>
            <w:r>
              <w:rPr>
                <w:rStyle w:val="apple-style-span"/>
                <w:sz w:val="21"/>
                <w:szCs w:val="21"/>
              </w:rPr>
              <w:t>гуанидина</w:t>
            </w:r>
            <w:proofErr w:type="spellEnd"/>
            <w:r>
              <w:rPr>
                <w:rStyle w:val="apple-style-span"/>
                <w:sz w:val="21"/>
                <w:szCs w:val="21"/>
              </w:rPr>
              <w:t xml:space="preserve">, фенолов, ЧАС, ПАВ. </w:t>
            </w:r>
          </w:p>
          <w:p w:rsidR="00552F1F" w:rsidRDefault="00552F1F" w:rsidP="008A134A">
            <w:pPr>
              <w:pStyle w:val="afc"/>
              <w:spacing w:after="0"/>
              <w:jc w:val="both"/>
              <w:rPr>
                <w:rStyle w:val="apple-style-span"/>
                <w:sz w:val="21"/>
                <w:szCs w:val="21"/>
              </w:rPr>
            </w:pPr>
            <w:r>
              <w:rPr>
                <w:rStyle w:val="apple-style-span"/>
                <w:rFonts w:ascii="Liberation Serif" w:eastAsia="SimSun" w:hAnsi="Liberation Serif" w:cs="Liberation Serif"/>
                <w:sz w:val="21"/>
                <w:szCs w:val="21"/>
                <w:lang w:eastAsia="hi-IN" w:bidi="hi-IN"/>
              </w:rPr>
              <w:t xml:space="preserve">Антимикробная активность должна быть в отношении грамотрицательных и грамположительных бактерий (включая микобактерии туберкулеза – </w:t>
            </w:r>
            <w:proofErr w:type="spellStart"/>
            <w:r>
              <w:rPr>
                <w:rStyle w:val="apple-style-span"/>
                <w:rFonts w:ascii="Liberation Serif" w:eastAsia="SimSun" w:hAnsi="Liberation Serif" w:cs="Liberation Serif"/>
                <w:sz w:val="21"/>
                <w:szCs w:val="21"/>
                <w:lang w:eastAsia="hi-IN" w:bidi="hi-IN"/>
              </w:rPr>
              <w:t>тестироано</w:t>
            </w:r>
            <w:proofErr w:type="spellEnd"/>
            <w:r>
              <w:rPr>
                <w:rStyle w:val="apple-style-span"/>
                <w:rFonts w:ascii="Liberation Serif" w:eastAsia="SimSun" w:hAnsi="Liberation Serif" w:cs="Liberation Serif"/>
                <w:sz w:val="21"/>
                <w:szCs w:val="21"/>
                <w:lang w:eastAsia="hi-IN" w:bidi="hi-IN"/>
              </w:rPr>
              <w:t xml:space="preserve"> на </w:t>
            </w:r>
            <w:proofErr w:type="spellStart"/>
            <w:r>
              <w:rPr>
                <w:rStyle w:val="apple-style-span"/>
                <w:rFonts w:ascii="Liberation Serif" w:eastAsia="SimSun" w:hAnsi="Liberation Serif" w:cs="Liberation Serif"/>
                <w:sz w:val="21"/>
                <w:szCs w:val="21"/>
                <w:lang w:eastAsia="hi-IN" w:bidi="hi-IN"/>
              </w:rPr>
              <w:t>Mycobacterium</w:t>
            </w:r>
            <w:proofErr w:type="spellEnd"/>
            <w:r>
              <w:rPr>
                <w:rStyle w:val="apple-style-span"/>
                <w:rFonts w:ascii="Liberation Serif" w:eastAsia="SimSun" w:hAnsi="Liberation Serif" w:cs="Liberation Serif"/>
                <w:sz w:val="21"/>
                <w:szCs w:val="21"/>
                <w:lang w:eastAsia="hi-IN" w:bidi="hi-IN"/>
              </w:rPr>
              <w:t xml:space="preserve"> </w:t>
            </w:r>
            <w:proofErr w:type="spellStart"/>
            <w:r>
              <w:rPr>
                <w:rStyle w:val="apple-style-span"/>
                <w:rFonts w:ascii="Liberation Serif" w:eastAsia="SimSun" w:hAnsi="Liberation Serif" w:cs="Liberation Serif"/>
                <w:sz w:val="21"/>
                <w:szCs w:val="21"/>
                <w:lang w:eastAsia="hi-IN" w:bidi="hi-IN"/>
              </w:rPr>
              <w:t>terre</w:t>
            </w:r>
            <w:proofErr w:type="spellEnd"/>
            <w:r>
              <w:rPr>
                <w:rStyle w:val="apple-style-span"/>
                <w:rFonts w:ascii="Liberation Serif" w:eastAsia="SimSun" w:hAnsi="Liberation Serif" w:cs="Liberation Serif"/>
                <w:sz w:val="21"/>
                <w:szCs w:val="21"/>
                <w:lang w:eastAsia="hi-IN" w:bidi="hi-IN"/>
              </w:rPr>
              <w:t>, внутрибольничных инфекций, особо опасных инфекций – чумы, холеры, туляремии), вирусов (</w:t>
            </w:r>
            <w:proofErr w:type="spellStart"/>
            <w:r>
              <w:rPr>
                <w:rStyle w:val="apple-style-span"/>
                <w:rFonts w:ascii="Liberation Serif" w:eastAsia="SimSun" w:hAnsi="Liberation Serif" w:cs="Liberation Serif"/>
                <w:sz w:val="21"/>
                <w:szCs w:val="21"/>
                <w:lang w:eastAsia="hi-IN" w:bidi="hi-IN"/>
              </w:rPr>
              <w:t>Коксаки</w:t>
            </w:r>
            <w:proofErr w:type="spellEnd"/>
            <w:r>
              <w:rPr>
                <w:rStyle w:val="apple-style-span"/>
                <w:rFonts w:ascii="Liberation Serif" w:eastAsia="SimSun" w:hAnsi="Liberation Serif" w:cs="Liberation Serif"/>
                <w:sz w:val="21"/>
                <w:szCs w:val="21"/>
                <w:lang w:eastAsia="hi-IN" w:bidi="hi-IN"/>
              </w:rPr>
              <w:t xml:space="preserve">, ЕСНО, полиомиелита, гепатитов А, В, С и др., ВИЧ, гриппа, в т.ч. гриппа АН5N1, Н1N1, герпеса, аденовирусов и др.), патогенных грибов рода Кандида, </w:t>
            </w:r>
            <w:proofErr w:type="spellStart"/>
            <w:r>
              <w:rPr>
                <w:rStyle w:val="apple-style-span"/>
                <w:rFonts w:ascii="Liberation Serif" w:eastAsia="SimSun" w:hAnsi="Liberation Serif" w:cs="Liberation Serif"/>
                <w:sz w:val="21"/>
                <w:szCs w:val="21"/>
                <w:lang w:eastAsia="hi-IN" w:bidi="hi-IN"/>
              </w:rPr>
              <w:t>дерматофитов</w:t>
            </w:r>
            <w:proofErr w:type="spellEnd"/>
            <w:r>
              <w:rPr>
                <w:rStyle w:val="apple-style-span"/>
                <w:rFonts w:ascii="Liberation Serif" w:eastAsia="SimSun" w:hAnsi="Liberation Serif" w:cs="Liberation Serif"/>
                <w:sz w:val="21"/>
                <w:szCs w:val="21"/>
                <w:lang w:eastAsia="hi-IN" w:bidi="hi-IN"/>
              </w:rPr>
              <w:t xml:space="preserve">. Средство должно обладать </w:t>
            </w:r>
            <w:proofErr w:type="spellStart"/>
            <w:r>
              <w:rPr>
                <w:rStyle w:val="apple-style-span"/>
                <w:rFonts w:ascii="Liberation Serif" w:eastAsia="SimSun" w:hAnsi="Liberation Serif" w:cs="Liberation Serif"/>
                <w:sz w:val="21"/>
                <w:szCs w:val="21"/>
                <w:lang w:eastAsia="hi-IN" w:bidi="hi-IN"/>
              </w:rPr>
              <w:t>спороцидной</w:t>
            </w:r>
            <w:proofErr w:type="spellEnd"/>
            <w:r>
              <w:rPr>
                <w:rStyle w:val="apple-style-span"/>
                <w:rFonts w:ascii="Liberation Serif" w:eastAsia="SimSun" w:hAnsi="Liberation Serif" w:cs="Liberation Serif"/>
                <w:sz w:val="21"/>
                <w:szCs w:val="21"/>
                <w:lang w:eastAsia="hi-IN" w:bidi="hi-IN"/>
              </w:rPr>
              <w:t xml:space="preserve"> активностью в отношении спор сибирской язвы (тестировано на </w:t>
            </w:r>
            <w:proofErr w:type="spellStart"/>
            <w:r>
              <w:rPr>
                <w:rStyle w:val="apple-style-span"/>
                <w:rFonts w:ascii="Liberation Serif" w:eastAsia="SimSun" w:hAnsi="Liberation Serif" w:cs="Liberation Serif"/>
                <w:sz w:val="21"/>
                <w:szCs w:val="21"/>
                <w:lang w:eastAsia="hi-IN" w:bidi="hi-IN"/>
              </w:rPr>
              <w:t>Bacillus</w:t>
            </w:r>
            <w:proofErr w:type="spellEnd"/>
            <w:r>
              <w:rPr>
                <w:rStyle w:val="apple-style-span"/>
                <w:rFonts w:ascii="Liberation Serif" w:eastAsia="SimSun" w:hAnsi="Liberation Serif" w:cs="Liberation Serif"/>
                <w:sz w:val="21"/>
                <w:szCs w:val="21"/>
                <w:lang w:eastAsia="hi-IN" w:bidi="hi-IN"/>
              </w:rPr>
              <w:t xml:space="preserve"> </w:t>
            </w:r>
            <w:proofErr w:type="spellStart"/>
            <w:r>
              <w:rPr>
                <w:rStyle w:val="apple-style-span"/>
                <w:rFonts w:ascii="Liberation Serif" w:eastAsia="SimSun" w:hAnsi="Liberation Serif" w:cs="Liberation Serif"/>
                <w:sz w:val="21"/>
                <w:szCs w:val="21"/>
                <w:lang w:eastAsia="hi-IN" w:bidi="hi-IN"/>
              </w:rPr>
              <w:t>anthracis</w:t>
            </w:r>
            <w:proofErr w:type="spellEnd"/>
            <w:r>
              <w:rPr>
                <w:rStyle w:val="apple-style-span"/>
                <w:rFonts w:ascii="Liberation Serif" w:eastAsia="SimSun" w:hAnsi="Liberation Serif" w:cs="Liberation Serif"/>
                <w:sz w:val="21"/>
                <w:szCs w:val="21"/>
                <w:lang w:eastAsia="hi-IN" w:bidi="hi-IN"/>
              </w:rPr>
              <w:t xml:space="preserve"> штамм СТИ), </w:t>
            </w:r>
            <w:proofErr w:type="spellStart"/>
            <w:r>
              <w:rPr>
                <w:rStyle w:val="apple-style-span"/>
                <w:rFonts w:ascii="Liberation Serif" w:eastAsia="SimSun" w:hAnsi="Liberation Serif" w:cs="Liberation Serif"/>
                <w:sz w:val="21"/>
                <w:szCs w:val="21"/>
                <w:lang w:eastAsia="hi-IN" w:bidi="hi-IN"/>
              </w:rPr>
              <w:t>дезинвазивной</w:t>
            </w:r>
            <w:proofErr w:type="spellEnd"/>
            <w:r>
              <w:rPr>
                <w:rStyle w:val="apple-style-span"/>
                <w:rFonts w:ascii="Liberation Serif" w:eastAsia="SimSun" w:hAnsi="Liberation Serif" w:cs="Liberation Serif"/>
                <w:sz w:val="21"/>
                <w:szCs w:val="21"/>
                <w:lang w:eastAsia="hi-IN" w:bidi="hi-IN"/>
              </w:rPr>
              <w:t xml:space="preserve"> активностью при контаминации цистами и </w:t>
            </w:r>
            <w:proofErr w:type="spellStart"/>
            <w:r>
              <w:rPr>
                <w:rStyle w:val="apple-style-span"/>
                <w:rFonts w:ascii="Liberation Serif" w:eastAsia="SimSun" w:hAnsi="Liberation Serif" w:cs="Liberation Serif"/>
                <w:sz w:val="21"/>
                <w:szCs w:val="21"/>
                <w:lang w:eastAsia="hi-IN" w:bidi="hi-IN"/>
              </w:rPr>
              <w:t>ооцистами</w:t>
            </w:r>
            <w:proofErr w:type="spellEnd"/>
            <w:r>
              <w:rPr>
                <w:rStyle w:val="apple-style-span"/>
                <w:rFonts w:ascii="Liberation Serif" w:eastAsia="SimSun" w:hAnsi="Liberation Serif" w:cs="Liberation Serif"/>
                <w:sz w:val="21"/>
                <w:szCs w:val="21"/>
                <w:lang w:eastAsia="hi-IN" w:bidi="hi-IN"/>
              </w:rPr>
              <w:t xml:space="preserve"> простейших, яйцами, </w:t>
            </w:r>
            <w:proofErr w:type="spellStart"/>
            <w:r>
              <w:rPr>
                <w:rStyle w:val="apple-style-span"/>
                <w:rFonts w:ascii="Liberation Serif" w:eastAsia="SimSun" w:hAnsi="Liberation Serif" w:cs="Liberation Serif"/>
                <w:sz w:val="21"/>
                <w:szCs w:val="21"/>
                <w:lang w:eastAsia="hi-IN" w:bidi="hi-IN"/>
              </w:rPr>
              <w:t>онкосферами</w:t>
            </w:r>
            <w:proofErr w:type="spellEnd"/>
            <w:r>
              <w:rPr>
                <w:rStyle w:val="apple-style-span"/>
                <w:rFonts w:ascii="Liberation Serif" w:eastAsia="SimSun" w:hAnsi="Liberation Serif" w:cs="Liberation Serif"/>
                <w:sz w:val="21"/>
                <w:szCs w:val="21"/>
                <w:lang w:eastAsia="hi-IN" w:bidi="hi-IN"/>
              </w:rPr>
              <w:t xml:space="preserve"> и </w:t>
            </w:r>
            <w:proofErr w:type="spellStart"/>
            <w:r>
              <w:rPr>
                <w:rStyle w:val="apple-style-span"/>
                <w:rFonts w:ascii="Liberation Serif" w:eastAsia="SimSun" w:hAnsi="Liberation Serif" w:cs="Liberation Serif"/>
                <w:sz w:val="21"/>
                <w:szCs w:val="21"/>
                <w:lang w:eastAsia="hi-IN" w:bidi="hi-IN"/>
              </w:rPr>
              <w:t>лечинками</w:t>
            </w:r>
            <w:proofErr w:type="spellEnd"/>
            <w:r>
              <w:rPr>
                <w:rStyle w:val="apple-style-span"/>
                <w:rFonts w:ascii="Liberation Serif" w:eastAsia="SimSun" w:hAnsi="Liberation Serif" w:cs="Liberation Serif"/>
                <w:sz w:val="21"/>
                <w:szCs w:val="21"/>
                <w:lang w:eastAsia="hi-IN" w:bidi="hi-IN"/>
              </w:rPr>
              <w:t xml:space="preserve"> гельминтов (включая острицы).</w:t>
            </w:r>
          </w:p>
          <w:p w:rsidR="00552F1F" w:rsidRDefault="00552F1F" w:rsidP="008A134A">
            <w:pPr>
              <w:jc w:val="both"/>
              <w:rPr>
                <w:rStyle w:val="apple-style-span"/>
                <w:sz w:val="21"/>
                <w:szCs w:val="21"/>
              </w:rPr>
            </w:pPr>
            <w:r>
              <w:rPr>
                <w:rStyle w:val="apple-style-span"/>
                <w:sz w:val="21"/>
                <w:szCs w:val="21"/>
              </w:rPr>
              <w:t>Срок годности средства не менее 5лет.</w:t>
            </w:r>
          </w:p>
          <w:p w:rsidR="00552F1F" w:rsidRDefault="00552F1F" w:rsidP="008A134A">
            <w:pPr>
              <w:snapToGrid w:val="0"/>
              <w:rPr>
                <w:rStyle w:val="apple-style-span"/>
                <w:rFonts w:cs="Liberation Serif"/>
                <w:sz w:val="21"/>
                <w:szCs w:val="21"/>
              </w:rPr>
            </w:pPr>
            <w:r>
              <w:rPr>
                <w:rStyle w:val="apple-style-span"/>
                <w:sz w:val="21"/>
                <w:szCs w:val="21"/>
              </w:rPr>
              <w:t>Токсичность:</w:t>
            </w:r>
          </w:p>
          <w:p w:rsidR="00552F1F" w:rsidRDefault="00552F1F" w:rsidP="008A134A">
            <w:pPr>
              <w:pStyle w:val="15"/>
              <w:jc w:val="both"/>
              <w:rPr>
                <w:rFonts w:ascii="Times New Roman" w:hAnsi="Times New Roman" w:cs="Times New Roman"/>
              </w:rPr>
            </w:pPr>
            <w:r>
              <w:rPr>
                <w:rStyle w:val="apple-style-span"/>
                <w:rFonts w:ascii="Liberation Serif" w:eastAsia="SimSun" w:hAnsi="Liberation Serif" w:cs="Liberation Serif"/>
                <w:sz w:val="21"/>
                <w:szCs w:val="21"/>
                <w:lang w:eastAsia="hi-IN" w:bidi="hi-IN"/>
              </w:rPr>
              <w:t xml:space="preserve">По ГОСТ 12.1.007-76 относится к 3 классу умеренно опасных веществ при введении в желудок и к 4 классу мало опасных веществ при нанесении на кожу; Рабочие растворы при однократных воздействиях на кожу не вызывают местно-раздражающего и кожно-резорбтивного. </w:t>
            </w:r>
            <w:r>
              <w:rPr>
                <w:rStyle w:val="apple-style-span"/>
                <w:sz w:val="21"/>
                <w:szCs w:val="21"/>
              </w:rPr>
              <w:t>Срок годности рабочих растворов средства не менее 4 суток.</w:t>
            </w:r>
          </w:p>
        </w:tc>
        <w:tc>
          <w:tcPr>
            <w:tcW w:w="660"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jc w:val="both"/>
            </w:pPr>
            <w:proofErr w:type="spellStart"/>
            <w:r>
              <w:rPr>
                <w:sz w:val="20"/>
                <w:szCs w:val="20"/>
              </w:rPr>
              <w:t>шт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52F1F" w:rsidRPr="008A41DF" w:rsidRDefault="00552F1F" w:rsidP="008A134A">
            <w:pPr>
              <w:pStyle w:val="Style4"/>
              <w:widowControl/>
              <w:snapToGrid w:val="0"/>
              <w:spacing w:line="240" w:lineRule="auto"/>
              <w:ind w:left="5" w:hanging="5"/>
              <w:jc w:val="both"/>
              <w:rPr>
                <w:lang w:val="en-US"/>
              </w:rPr>
            </w:pPr>
            <w:r>
              <w:rPr>
                <w:lang w:val="en-US"/>
              </w:rPr>
              <w:t>12</w:t>
            </w:r>
          </w:p>
        </w:tc>
      </w:tr>
      <w:tr w:rsidR="00552F1F" w:rsidRPr="005938EA" w:rsidTr="00552F1F">
        <w:trPr>
          <w:trHeight w:val="716"/>
        </w:trPr>
        <w:tc>
          <w:tcPr>
            <w:tcW w:w="540" w:type="dxa"/>
            <w:tcBorders>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kern w:val="1"/>
                <w:sz w:val="20"/>
                <w:szCs w:val="20"/>
                <w:lang w:eastAsia="ar-SA"/>
              </w:rPr>
              <w:t>2</w:t>
            </w:r>
          </w:p>
        </w:tc>
        <w:tc>
          <w:tcPr>
            <w:tcW w:w="1830" w:type="dxa"/>
            <w:tcBorders>
              <w:left w:val="single" w:sz="4" w:space="0" w:color="000000"/>
              <w:bottom w:val="single" w:sz="4" w:space="0" w:color="000000"/>
            </w:tcBorders>
            <w:shd w:val="clear" w:color="auto" w:fill="auto"/>
            <w:vAlign w:val="center"/>
          </w:tcPr>
          <w:p w:rsidR="00552F1F" w:rsidRDefault="00552F1F" w:rsidP="008A134A">
            <w:pPr>
              <w:spacing w:line="100" w:lineRule="atLeast"/>
              <w:rPr>
                <w:rStyle w:val="apple-style-span"/>
                <w:sz w:val="21"/>
                <w:szCs w:val="21"/>
              </w:rPr>
            </w:pPr>
            <w:r>
              <w:rPr>
                <w:color w:val="000000"/>
              </w:rPr>
              <w:t>Астера таб. №300</w:t>
            </w:r>
          </w:p>
        </w:tc>
        <w:tc>
          <w:tcPr>
            <w:tcW w:w="6885" w:type="dxa"/>
            <w:tcBorders>
              <w:left w:val="single" w:sz="4" w:space="0" w:color="000000"/>
              <w:bottom w:val="single" w:sz="4" w:space="0" w:color="000000"/>
            </w:tcBorders>
            <w:shd w:val="clear" w:color="auto" w:fill="auto"/>
          </w:tcPr>
          <w:p w:rsidR="00552F1F" w:rsidRDefault="00552F1F" w:rsidP="008A134A">
            <w:pPr>
              <w:snapToGrid w:val="0"/>
              <w:jc w:val="both"/>
              <w:rPr>
                <w:rStyle w:val="apple-style-span"/>
                <w:sz w:val="21"/>
                <w:szCs w:val="21"/>
              </w:rPr>
            </w:pPr>
            <w:r>
              <w:rPr>
                <w:rStyle w:val="apple-style-span"/>
                <w:sz w:val="21"/>
                <w:szCs w:val="21"/>
              </w:rPr>
              <w:t>Средство должно представлять собой таблетки, содержащее в качестве активной основы хлорсодержащие соединения, выделяющие свободный хлор не менее 84%, при растворении одной таблетки должно выделять не менее 1,35 и не более 1,65 г. активного хлора.</w:t>
            </w:r>
          </w:p>
          <w:p w:rsidR="00552F1F" w:rsidRDefault="00552F1F" w:rsidP="008A134A">
            <w:pPr>
              <w:jc w:val="both"/>
              <w:rPr>
                <w:rStyle w:val="apple-style-span"/>
                <w:sz w:val="21"/>
                <w:szCs w:val="21"/>
              </w:rPr>
            </w:pPr>
            <w:r>
              <w:rPr>
                <w:rStyle w:val="apple-style-span"/>
                <w:sz w:val="21"/>
                <w:szCs w:val="21"/>
              </w:rPr>
              <w:t xml:space="preserve">- не должно содержать альдегидов и перекисных соединений, производных </w:t>
            </w:r>
            <w:proofErr w:type="spellStart"/>
            <w:r>
              <w:rPr>
                <w:rStyle w:val="apple-style-span"/>
                <w:sz w:val="21"/>
                <w:szCs w:val="21"/>
              </w:rPr>
              <w:t>гуанидина</w:t>
            </w:r>
            <w:proofErr w:type="spellEnd"/>
            <w:r>
              <w:rPr>
                <w:rStyle w:val="apple-style-span"/>
                <w:sz w:val="21"/>
                <w:szCs w:val="21"/>
              </w:rPr>
              <w:t xml:space="preserve">, фенолов, ЧАС, ПАВ. </w:t>
            </w:r>
          </w:p>
          <w:p w:rsidR="00552F1F" w:rsidRDefault="00552F1F" w:rsidP="008A134A">
            <w:pPr>
              <w:jc w:val="both"/>
              <w:rPr>
                <w:rStyle w:val="apple-style-span"/>
                <w:rFonts w:cs="Liberation Serif"/>
                <w:sz w:val="21"/>
                <w:szCs w:val="21"/>
              </w:rPr>
            </w:pPr>
            <w:r>
              <w:rPr>
                <w:rStyle w:val="apple-style-span"/>
                <w:sz w:val="21"/>
                <w:szCs w:val="21"/>
              </w:rPr>
              <w:t>Срок годности средства не менее 5лет.</w:t>
            </w:r>
          </w:p>
          <w:p w:rsidR="00552F1F" w:rsidRDefault="00552F1F" w:rsidP="008A134A">
            <w:pPr>
              <w:pStyle w:val="afc"/>
              <w:spacing w:after="0"/>
              <w:jc w:val="both"/>
              <w:rPr>
                <w:rStyle w:val="apple-style-span"/>
                <w:sz w:val="21"/>
                <w:szCs w:val="21"/>
              </w:rPr>
            </w:pPr>
            <w:r>
              <w:rPr>
                <w:rStyle w:val="apple-style-span"/>
                <w:rFonts w:ascii="Liberation Serif" w:eastAsia="SimSun" w:hAnsi="Liberation Serif" w:cs="Liberation Serif"/>
                <w:sz w:val="21"/>
                <w:szCs w:val="21"/>
                <w:lang w:eastAsia="hi-IN" w:bidi="hi-IN"/>
              </w:rPr>
              <w:t xml:space="preserve">Антимикробная активность должна быть в отношении грамотрицательных и грамположительных бактерий (включая микобактерии туберкулеза – </w:t>
            </w:r>
            <w:proofErr w:type="spellStart"/>
            <w:r>
              <w:rPr>
                <w:rStyle w:val="apple-style-span"/>
                <w:rFonts w:ascii="Liberation Serif" w:eastAsia="SimSun" w:hAnsi="Liberation Serif" w:cs="Liberation Serif"/>
                <w:sz w:val="21"/>
                <w:szCs w:val="21"/>
                <w:lang w:eastAsia="hi-IN" w:bidi="hi-IN"/>
              </w:rPr>
              <w:t>тестироано</w:t>
            </w:r>
            <w:proofErr w:type="spellEnd"/>
            <w:r>
              <w:rPr>
                <w:rStyle w:val="apple-style-span"/>
                <w:rFonts w:ascii="Liberation Serif" w:eastAsia="SimSun" w:hAnsi="Liberation Serif" w:cs="Liberation Serif"/>
                <w:sz w:val="21"/>
                <w:szCs w:val="21"/>
                <w:lang w:eastAsia="hi-IN" w:bidi="hi-IN"/>
              </w:rPr>
              <w:t xml:space="preserve"> на </w:t>
            </w:r>
            <w:proofErr w:type="spellStart"/>
            <w:r>
              <w:rPr>
                <w:rStyle w:val="apple-style-span"/>
                <w:rFonts w:ascii="Liberation Serif" w:eastAsia="SimSun" w:hAnsi="Liberation Serif" w:cs="Liberation Serif"/>
                <w:sz w:val="21"/>
                <w:szCs w:val="21"/>
                <w:lang w:eastAsia="hi-IN" w:bidi="hi-IN"/>
              </w:rPr>
              <w:t>Mycobacterium</w:t>
            </w:r>
            <w:proofErr w:type="spellEnd"/>
            <w:r>
              <w:rPr>
                <w:rStyle w:val="apple-style-span"/>
                <w:rFonts w:ascii="Liberation Serif" w:eastAsia="SimSun" w:hAnsi="Liberation Serif" w:cs="Liberation Serif"/>
                <w:sz w:val="21"/>
                <w:szCs w:val="21"/>
                <w:lang w:eastAsia="hi-IN" w:bidi="hi-IN"/>
              </w:rPr>
              <w:t xml:space="preserve"> </w:t>
            </w:r>
            <w:proofErr w:type="spellStart"/>
            <w:r>
              <w:rPr>
                <w:rStyle w:val="apple-style-span"/>
                <w:rFonts w:ascii="Liberation Serif" w:eastAsia="SimSun" w:hAnsi="Liberation Serif" w:cs="Liberation Serif"/>
                <w:sz w:val="21"/>
                <w:szCs w:val="21"/>
                <w:lang w:eastAsia="hi-IN" w:bidi="hi-IN"/>
              </w:rPr>
              <w:t>terre</w:t>
            </w:r>
            <w:proofErr w:type="spellEnd"/>
            <w:r>
              <w:rPr>
                <w:rStyle w:val="apple-style-span"/>
                <w:rFonts w:ascii="Liberation Serif" w:eastAsia="SimSun" w:hAnsi="Liberation Serif" w:cs="Liberation Serif"/>
                <w:sz w:val="21"/>
                <w:szCs w:val="21"/>
                <w:lang w:eastAsia="hi-IN" w:bidi="hi-IN"/>
              </w:rPr>
              <w:t>, внутрибольничных инфекций, особо опасных инфекций – чумы, холеры, туляремии), вирусов (</w:t>
            </w:r>
            <w:proofErr w:type="spellStart"/>
            <w:r>
              <w:rPr>
                <w:rStyle w:val="apple-style-span"/>
                <w:rFonts w:ascii="Liberation Serif" w:eastAsia="SimSun" w:hAnsi="Liberation Serif" w:cs="Liberation Serif"/>
                <w:sz w:val="21"/>
                <w:szCs w:val="21"/>
                <w:lang w:eastAsia="hi-IN" w:bidi="hi-IN"/>
              </w:rPr>
              <w:t>Коксаки</w:t>
            </w:r>
            <w:proofErr w:type="spellEnd"/>
            <w:r>
              <w:rPr>
                <w:rStyle w:val="apple-style-span"/>
                <w:rFonts w:ascii="Liberation Serif" w:eastAsia="SimSun" w:hAnsi="Liberation Serif" w:cs="Liberation Serif"/>
                <w:sz w:val="21"/>
                <w:szCs w:val="21"/>
                <w:lang w:eastAsia="hi-IN" w:bidi="hi-IN"/>
              </w:rPr>
              <w:t xml:space="preserve">, ЕСНО, полиомиелита, гепатитов А, В, С и др., ВИЧ, гриппа, в т.ч. гриппа АН5N1, Н1N1, герпеса, аденовирусов и др.), патогенных грибов рода Кандида, </w:t>
            </w:r>
            <w:proofErr w:type="spellStart"/>
            <w:r>
              <w:rPr>
                <w:rStyle w:val="apple-style-span"/>
                <w:rFonts w:ascii="Liberation Serif" w:eastAsia="SimSun" w:hAnsi="Liberation Serif" w:cs="Liberation Serif"/>
                <w:sz w:val="21"/>
                <w:szCs w:val="21"/>
                <w:lang w:eastAsia="hi-IN" w:bidi="hi-IN"/>
              </w:rPr>
              <w:t>дерматофитов</w:t>
            </w:r>
            <w:proofErr w:type="spellEnd"/>
            <w:r>
              <w:rPr>
                <w:rStyle w:val="apple-style-span"/>
                <w:rFonts w:ascii="Liberation Serif" w:eastAsia="SimSun" w:hAnsi="Liberation Serif" w:cs="Liberation Serif"/>
                <w:sz w:val="21"/>
                <w:szCs w:val="21"/>
                <w:lang w:eastAsia="hi-IN" w:bidi="hi-IN"/>
              </w:rPr>
              <w:t xml:space="preserve">. Средство должно обладать </w:t>
            </w:r>
            <w:proofErr w:type="spellStart"/>
            <w:r>
              <w:rPr>
                <w:rStyle w:val="apple-style-span"/>
                <w:rFonts w:ascii="Liberation Serif" w:eastAsia="SimSun" w:hAnsi="Liberation Serif" w:cs="Liberation Serif"/>
                <w:sz w:val="21"/>
                <w:szCs w:val="21"/>
                <w:lang w:eastAsia="hi-IN" w:bidi="hi-IN"/>
              </w:rPr>
              <w:t>спороцидной</w:t>
            </w:r>
            <w:proofErr w:type="spellEnd"/>
            <w:r>
              <w:rPr>
                <w:rStyle w:val="apple-style-span"/>
                <w:rFonts w:ascii="Liberation Serif" w:eastAsia="SimSun" w:hAnsi="Liberation Serif" w:cs="Liberation Serif"/>
                <w:sz w:val="21"/>
                <w:szCs w:val="21"/>
                <w:lang w:eastAsia="hi-IN" w:bidi="hi-IN"/>
              </w:rPr>
              <w:t xml:space="preserve"> активностью в отношении спор сибирской язвы (тестировано на </w:t>
            </w:r>
            <w:proofErr w:type="spellStart"/>
            <w:r>
              <w:rPr>
                <w:rStyle w:val="apple-style-span"/>
                <w:rFonts w:ascii="Liberation Serif" w:eastAsia="SimSun" w:hAnsi="Liberation Serif" w:cs="Liberation Serif"/>
                <w:sz w:val="21"/>
                <w:szCs w:val="21"/>
                <w:lang w:eastAsia="hi-IN" w:bidi="hi-IN"/>
              </w:rPr>
              <w:t>Bacillus</w:t>
            </w:r>
            <w:proofErr w:type="spellEnd"/>
            <w:r>
              <w:rPr>
                <w:rStyle w:val="apple-style-span"/>
                <w:rFonts w:ascii="Liberation Serif" w:eastAsia="SimSun" w:hAnsi="Liberation Serif" w:cs="Liberation Serif"/>
                <w:sz w:val="21"/>
                <w:szCs w:val="21"/>
                <w:lang w:eastAsia="hi-IN" w:bidi="hi-IN"/>
              </w:rPr>
              <w:t xml:space="preserve"> </w:t>
            </w:r>
            <w:proofErr w:type="spellStart"/>
            <w:r>
              <w:rPr>
                <w:rStyle w:val="apple-style-span"/>
                <w:rFonts w:ascii="Liberation Serif" w:eastAsia="SimSun" w:hAnsi="Liberation Serif" w:cs="Liberation Serif"/>
                <w:sz w:val="21"/>
                <w:szCs w:val="21"/>
                <w:lang w:eastAsia="hi-IN" w:bidi="hi-IN"/>
              </w:rPr>
              <w:t>anthracis</w:t>
            </w:r>
            <w:proofErr w:type="spellEnd"/>
            <w:r>
              <w:rPr>
                <w:rStyle w:val="apple-style-span"/>
                <w:rFonts w:ascii="Liberation Serif" w:eastAsia="SimSun" w:hAnsi="Liberation Serif" w:cs="Liberation Serif"/>
                <w:sz w:val="21"/>
                <w:szCs w:val="21"/>
                <w:lang w:eastAsia="hi-IN" w:bidi="hi-IN"/>
              </w:rPr>
              <w:t xml:space="preserve"> штамм СТИ), </w:t>
            </w:r>
            <w:proofErr w:type="spellStart"/>
            <w:r>
              <w:rPr>
                <w:rStyle w:val="apple-style-span"/>
                <w:rFonts w:ascii="Liberation Serif" w:eastAsia="SimSun" w:hAnsi="Liberation Serif" w:cs="Liberation Serif"/>
                <w:sz w:val="21"/>
                <w:szCs w:val="21"/>
                <w:lang w:eastAsia="hi-IN" w:bidi="hi-IN"/>
              </w:rPr>
              <w:t>дезинвазивной</w:t>
            </w:r>
            <w:proofErr w:type="spellEnd"/>
            <w:r>
              <w:rPr>
                <w:rStyle w:val="apple-style-span"/>
                <w:rFonts w:ascii="Liberation Serif" w:eastAsia="SimSun" w:hAnsi="Liberation Serif" w:cs="Liberation Serif"/>
                <w:sz w:val="21"/>
                <w:szCs w:val="21"/>
                <w:lang w:eastAsia="hi-IN" w:bidi="hi-IN"/>
              </w:rPr>
              <w:t xml:space="preserve"> активностью при контаминации цистами и </w:t>
            </w:r>
            <w:proofErr w:type="spellStart"/>
            <w:r>
              <w:rPr>
                <w:rStyle w:val="apple-style-span"/>
                <w:rFonts w:ascii="Liberation Serif" w:eastAsia="SimSun" w:hAnsi="Liberation Serif" w:cs="Liberation Serif"/>
                <w:sz w:val="21"/>
                <w:szCs w:val="21"/>
                <w:lang w:eastAsia="hi-IN" w:bidi="hi-IN"/>
              </w:rPr>
              <w:t>ооцистами</w:t>
            </w:r>
            <w:proofErr w:type="spellEnd"/>
            <w:r>
              <w:rPr>
                <w:rStyle w:val="apple-style-span"/>
                <w:rFonts w:ascii="Liberation Serif" w:eastAsia="SimSun" w:hAnsi="Liberation Serif" w:cs="Liberation Serif"/>
                <w:sz w:val="21"/>
                <w:szCs w:val="21"/>
                <w:lang w:eastAsia="hi-IN" w:bidi="hi-IN"/>
              </w:rPr>
              <w:t xml:space="preserve"> простейших, яйцами, </w:t>
            </w:r>
            <w:proofErr w:type="spellStart"/>
            <w:r>
              <w:rPr>
                <w:rStyle w:val="apple-style-span"/>
                <w:rFonts w:ascii="Liberation Serif" w:eastAsia="SimSun" w:hAnsi="Liberation Serif" w:cs="Liberation Serif"/>
                <w:sz w:val="21"/>
                <w:szCs w:val="21"/>
                <w:lang w:eastAsia="hi-IN" w:bidi="hi-IN"/>
              </w:rPr>
              <w:t>онкосферами</w:t>
            </w:r>
            <w:proofErr w:type="spellEnd"/>
            <w:r>
              <w:rPr>
                <w:rStyle w:val="apple-style-span"/>
                <w:rFonts w:ascii="Liberation Serif" w:eastAsia="SimSun" w:hAnsi="Liberation Serif" w:cs="Liberation Serif"/>
                <w:sz w:val="21"/>
                <w:szCs w:val="21"/>
                <w:lang w:eastAsia="hi-IN" w:bidi="hi-IN"/>
              </w:rPr>
              <w:t xml:space="preserve"> и </w:t>
            </w:r>
            <w:proofErr w:type="spellStart"/>
            <w:r>
              <w:rPr>
                <w:rStyle w:val="apple-style-span"/>
                <w:rFonts w:ascii="Liberation Serif" w:eastAsia="SimSun" w:hAnsi="Liberation Serif" w:cs="Liberation Serif"/>
                <w:sz w:val="21"/>
                <w:szCs w:val="21"/>
                <w:lang w:eastAsia="hi-IN" w:bidi="hi-IN"/>
              </w:rPr>
              <w:t>лечинками</w:t>
            </w:r>
            <w:proofErr w:type="spellEnd"/>
            <w:r>
              <w:rPr>
                <w:rStyle w:val="apple-style-span"/>
                <w:rFonts w:ascii="Liberation Serif" w:eastAsia="SimSun" w:hAnsi="Liberation Serif" w:cs="Liberation Serif"/>
                <w:sz w:val="21"/>
                <w:szCs w:val="21"/>
                <w:lang w:eastAsia="hi-IN" w:bidi="hi-IN"/>
              </w:rPr>
              <w:t xml:space="preserve"> гельминтов (включая острицы).</w:t>
            </w:r>
          </w:p>
          <w:p w:rsidR="00552F1F" w:rsidRDefault="00552F1F" w:rsidP="008A134A">
            <w:pPr>
              <w:snapToGrid w:val="0"/>
              <w:rPr>
                <w:rStyle w:val="apple-style-span"/>
                <w:sz w:val="21"/>
                <w:szCs w:val="21"/>
              </w:rPr>
            </w:pPr>
            <w:proofErr w:type="spellStart"/>
            <w:proofErr w:type="gramStart"/>
            <w:r>
              <w:rPr>
                <w:rStyle w:val="apple-style-span"/>
                <w:sz w:val="21"/>
                <w:szCs w:val="21"/>
              </w:rPr>
              <w:t>Токсичность:По</w:t>
            </w:r>
            <w:proofErr w:type="spellEnd"/>
            <w:proofErr w:type="gramEnd"/>
            <w:r>
              <w:rPr>
                <w:rStyle w:val="apple-style-span"/>
                <w:sz w:val="21"/>
                <w:szCs w:val="21"/>
              </w:rPr>
              <w:t xml:space="preserve"> ГОСТ 12.1.007-76 относится к 3 классу умеренно опасных веществ при введении в желудок и к 4 классу мало опасных веществ при нанесении на кожу; Рабочие растворы при однократных воздействиях на кожу не вызывают местно-раздражающего и кожно-резорбтивного действия.</w:t>
            </w:r>
          </w:p>
          <w:p w:rsidR="00552F1F" w:rsidRDefault="00552F1F" w:rsidP="008A134A">
            <w:pPr>
              <w:snapToGrid w:val="0"/>
              <w:rPr>
                <w:sz w:val="20"/>
                <w:szCs w:val="20"/>
              </w:rPr>
            </w:pPr>
            <w:r>
              <w:rPr>
                <w:rStyle w:val="apple-style-span"/>
                <w:sz w:val="21"/>
                <w:szCs w:val="21"/>
              </w:rPr>
              <w:t>Срок годности рабочих растворов средства не менее 4 суток.</w:t>
            </w:r>
          </w:p>
        </w:tc>
        <w:tc>
          <w:tcPr>
            <w:tcW w:w="660" w:type="dxa"/>
            <w:tcBorders>
              <w:left w:val="single" w:sz="4" w:space="0" w:color="000000"/>
              <w:bottom w:val="single" w:sz="4" w:space="0" w:color="000000"/>
            </w:tcBorders>
            <w:shd w:val="clear" w:color="auto" w:fill="auto"/>
          </w:tcPr>
          <w:p w:rsidR="00552F1F" w:rsidRDefault="00552F1F" w:rsidP="008A134A">
            <w:pPr>
              <w:snapToGrid w:val="0"/>
              <w:jc w:val="both"/>
            </w:pPr>
            <w:proofErr w:type="spellStart"/>
            <w:r>
              <w:rPr>
                <w:sz w:val="20"/>
                <w:szCs w:val="20"/>
              </w:rPr>
              <w:t>шт</w:t>
            </w:r>
            <w:proofErr w:type="spellEnd"/>
          </w:p>
        </w:tc>
        <w:tc>
          <w:tcPr>
            <w:tcW w:w="1175" w:type="dxa"/>
            <w:tcBorders>
              <w:left w:val="single" w:sz="4" w:space="0" w:color="000000"/>
              <w:bottom w:val="single" w:sz="4" w:space="0" w:color="000000"/>
              <w:right w:val="single" w:sz="4" w:space="0" w:color="000000"/>
            </w:tcBorders>
            <w:shd w:val="clear" w:color="auto" w:fill="auto"/>
          </w:tcPr>
          <w:p w:rsidR="00552F1F" w:rsidRPr="008A41DF" w:rsidRDefault="00552F1F" w:rsidP="008A134A">
            <w:pPr>
              <w:pStyle w:val="Style4"/>
              <w:widowControl/>
              <w:snapToGrid w:val="0"/>
              <w:spacing w:line="240" w:lineRule="auto"/>
              <w:ind w:left="5" w:hanging="5"/>
              <w:jc w:val="both"/>
              <w:rPr>
                <w:lang w:val="en-US"/>
              </w:rPr>
            </w:pPr>
            <w:r>
              <w:rPr>
                <w:lang w:val="en-US"/>
              </w:rPr>
              <w:t>8</w:t>
            </w:r>
          </w:p>
        </w:tc>
      </w:tr>
      <w:tr w:rsidR="00552F1F" w:rsidRPr="005938EA" w:rsidTr="00552F1F">
        <w:trPr>
          <w:trHeight w:val="716"/>
        </w:trPr>
        <w:tc>
          <w:tcPr>
            <w:tcW w:w="540" w:type="dxa"/>
            <w:tcBorders>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kern w:val="1"/>
                <w:sz w:val="20"/>
                <w:szCs w:val="20"/>
                <w:lang w:eastAsia="ar-SA"/>
              </w:rPr>
              <w:t>3</w:t>
            </w:r>
          </w:p>
        </w:tc>
        <w:tc>
          <w:tcPr>
            <w:tcW w:w="1830" w:type="dxa"/>
            <w:tcBorders>
              <w:left w:val="single" w:sz="4" w:space="0" w:color="000000"/>
              <w:bottom w:val="single" w:sz="4" w:space="0" w:color="000000"/>
            </w:tcBorders>
            <w:shd w:val="clear" w:color="auto" w:fill="auto"/>
            <w:vAlign w:val="center"/>
          </w:tcPr>
          <w:p w:rsidR="00552F1F" w:rsidRDefault="00552F1F" w:rsidP="008A134A">
            <w:pPr>
              <w:spacing w:line="100" w:lineRule="atLeast"/>
              <w:rPr>
                <w:rStyle w:val="apple-style-span"/>
                <w:sz w:val="21"/>
                <w:szCs w:val="21"/>
              </w:rPr>
            </w:pPr>
            <w:proofErr w:type="spellStart"/>
            <w:r>
              <w:rPr>
                <w:color w:val="000000"/>
              </w:rPr>
              <w:t>Миродез</w:t>
            </w:r>
            <w:proofErr w:type="spellEnd"/>
            <w:r>
              <w:rPr>
                <w:color w:val="000000"/>
              </w:rPr>
              <w:t xml:space="preserve"> </w:t>
            </w:r>
            <w:proofErr w:type="spellStart"/>
            <w:r>
              <w:rPr>
                <w:color w:val="000000"/>
              </w:rPr>
              <w:t>Базик</w:t>
            </w:r>
            <w:proofErr w:type="spellEnd"/>
            <w:r>
              <w:rPr>
                <w:color w:val="000000"/>
              </w:rPr>
              <w:t xml:space="preserve"> 1 л</w:t>
            </w:r>
          </w:p>
        </w:tc>
        <w:tc>
          <w:tcPr>
            <w:tcW w:w="6885" w:type="dxa"/>
            <w:tcBorders>
              <w:left w:val="single" w:sz="4" w:space="0" w:color="000000"/>
              <w:bottom w:val="single" w:sz="4" w:space="0" w:color="000000"/>
            </w:tcBorders>
            <w:shd w:val="clear" w:color="auto" w:fill="auto"/>
          </w:tcPr>
          <w:p w:rsidR="00552F1F" w:rsidRDefault="00552F1F" w:rsidP="008A134A">
            <w:pPr>
              <w:jc w:val="both"/>
              <w:rPr>
                <w:sz w:val="21"/>
                <w:szCs w:val="21"/>
              </w:rPr>
            </w:pPr>
            <w:r>
              <w:rPr>
                <w:rStyle w:val="apple-style-span"/>
                <w:sz w:val="21"/>
                <w:szCs w:val="21"/>
              </w:rPr>
              <w:t xml:space="preserve">Дезинфицирующее средство в виде жидкого концентрата на </w:t>
            </w:r>
            <w:proofErr w:type="gramStart"/>
            <w:r>
              <w:rPr>
                <w:rStyle w:val="apple-style-span"/>
                <w:sz w:val="21"/>
                <w:szCs w:val="21"/>
              </w:rPr>
              <w:t xml:space="preserve">основе  </w:t>
            </w:r>
            <w:r>
              <w:rPr>
                <w:sz w:val="21"/>
                <w:szCs w:val="21"/>
              </w:rPr>
              <w:t>ЧАС</w:t>
            </w:r>
            <w:proofErr w:type="gramEnd"/>
            <w:r>
              <w:rPr>
                <w:sz w:val="21"/>
                <w:szCs w:val="21"/>
              </w:rPr>
              <w:t xml:space="preserve">, </w:t>
            </w:r>
            <w:proofErr w:type="spellStart"/>
            <w:r>
              <w:rPr>
                <w:sz w:val="21"/>
                <w:szCs w:val="21"/>
              </w:rPr>
              <w:t>гуанидинов</w:t>
            </w:r>
            <w:proofErr w:type="spellEnd"/>
            <w:r>
              <w:rPr>
                <w:rStyle w:val="apple-style-span"/>
                <w:sz w:val="21"/>
                <w:szCs w:val="21"/>
              </w:rPr>
              <w:t xml:space="preserve">, не должно содержать третичных аминов, кислот, альдегидов, глиоксаль, ферментов, перекись. рН концентрата не более 8.  Срок годности рабочих растворов не менее 14 суток. Средство должно обладать антимикробной активностью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w:t>
            </w:r>
            <w:r>
              <w:rPr>
                <w:rStyle w:val="apple-style-span"/>
                <w:sz w:val="21"/>
                <w:szCs w:val="21"/>
              </w:rPr>
              <w:lastRenderedPageBreak/>
              <w:t xml:space="preserve">ротавирусы, вирус полиомиелита, вирусы </w:t>
            </w:r>
            <w:proofErr w:type="spellStart"/>
            <w:r>
              <w:rPr>
                <w:rStyle w:val="apple-style-span"/>
                <w:sz w:val="21"/>
                <w:szCs w:val="21"/>
              </w:rPr>
              <w:t>энтеральных</w:t>
            </w:r>
            <w:proofErr w:type="spellEnd"/>
            <w:r>
              <w:rPr>
                <w:rStyle w:val="apple-style-span"/>
                <w:sz w:val="21"/>
                <w:szCs w:val="21"/>
              </w:rPr>
              <w:t xml:space="preserve">, парентеральных гепатитов, герпеса, атипичной пневмонии, птичьего гриппа, ВИЧ), патогенных грибов рода Кандида, Трихофитон, плесневых грибов; а также моющими свойствами. Средство должно быть разрешено для применения </w:t>
            </w:r>
            <w:proofErr w:type="gramStart"/>
            <w:r>
              <w:rPr>
                <w:rStyle w:val="apple-style-span"/>
                <w:sz w:val="21"/>
                <w:szCs w:val="21"/>
              </w:rPr>
              <w:t>в материалов</w:t>
            </w:r>
            <w:proofErr w:type="gramEnd"/>
            <w:r>
              <w:rPr>
                <w:rStyle w:val="apple-style-span"/>
                <w:sz w:val="21"/>
                <w:szCs w:val="21"/>
              </w:rPr>
              <w:t xml:space="preserve"> в ЛПО (в т.ч. в стоматологических отделениях, в отделениях интенсивной терапии и реанимации, в инфекционных очагах). Дезинфекцию поверхностей в помещениях способом протирания можно проводить в присутствии пациентов. Смывание рабочего раствора средства с обработанных поверхностей после дезинфекции не требуется. Контроль концентрации рабочих растворов средства осуществляется индикаторными полосками, соответствующими данному средству. Выход рабочего раствора из одного литра концентрата должен составлять не менее 1000 л при экспозиции не более 60 минут при проведении дезинфекции (в отношении бактериальной этиологии)  поверхностей в помещениях, жесткой мебели (в т.ч. из дерева), приборов, оборудования, включая санитарно-техническое, предметов ухода за больными, средств личной гигиены, белья; не менее 500 л при экспозиции не более 60 минут при дезинфекции поверхностей, посуды, белья при вирусных инфекциях(в т.ч. Полиомиелите); не менее 200л при экспозиции не более 60 минут при дезинфекции, в том числе совмещенной с предстерилизационной очисткой, ИМН в отношении вирусных, бактериальных и грибковых инфекций; не менее  100 л при экспозиции не более 90 минут для обеззараживания жидких отходов, смывных вод, крови, выделений больного (мокрота, моча, фекалии).</w:t>
            </w:r>
          </w:p>
          <w:p w:rsidR="00552F1F" w:rsidRDefault="00552F1F" w:rsidP="008A134A">
            <w:pPr>
              <w:jc w:val="both"/>
              <w:rPr>
                <w:rFonts w:ascii="Cambria" w:hAnsi="Cambria" w:cs="Cambria"/>
                <w:sz w:val="21"/>
                <w:szCs w:val="21"/>
              </w:rPr>
            </w:pPr>
            <w:r>
              <w:rPr>
                <w:sz w:val="21"/>
                <w:szCs w:val="21"/>
              </w:rPr>
              <w:t xml:space="preserve">Упаковка: Флакон объемом не менее 1литра. </w:t>
            </w:r>
          </w:p>
          <w:p w:rsidR="00552F1F" w:rsidRDefault="00552F1F" w:rsidP="008A134A">
            <w:pPr>
              <w:jc w:val="both"/>
              <w:rPr>
                <w:sz w:val="20"/>
                <w:szCs w:val="20"/>
              </w:rPr>
            </w:pPr>
            <w:r>
              <w:rPr>
                <w:rFonts w:ascii="Cambria" w:hAnsi="Cambria" w:cs="Cambria"/>
                <w:sz w:val="21"/>
                <w:szCs w:val="21"/>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c>
          <w:tcPr>
            <w:tcW w:w="660" w:type="dxa"/>
            <w:tcBorders>
              <w:left w:val="single" w:sz="4" w:space="0" w:color="000000"/>
              <w:bottom w:val="single" w:sz="4" w:space="0" w:color="000000"/>
            </w:tcBorders>
            <w:shd w:val="clear" w:color="auto" w:fill="auto"/>
          </w:tcPr>
          <w:p w:rsidR="00552F1F" w:rsidRDefault="00552F1F" w:rsidP="008A134A">
            <w:pPr>
              <w:snapToGrid w:val="0"/>
              <w:jc w:val="both"/>
            </w:pPr>
            <w:r>
              <w:rPr>
                <w:sz w:val="20"/>
                <w:szCs w:val="20"/>
              </w:rPr>
              <w:lastRenderedPageBreak/>
              <w:t>флакон</w:t>
            </w:r>
          </w:p>
        </w:tc>
        <w:tc>
          <w:tcPr>
            <w:tcW w:w="1175" w:type="dxa"/>
            <w:tcBorders>
              <w:left w:val="single" w:sz="4" w:space="0" w:color="000000"/>
              <w:bottom w:val="single" w:sz="4" w:space="0" w:color="000000"/>
              <w:right w:val="single" w:sz="4" w:space="0" w:color="000000"/>
            </w:tcBorders>
            <w:shd w:val="clear" w:color="auto" w:fill="auto"/>
          </w:tcPr>
          <w:p w:rsidR="00552F1F" w:rsidRDefault="00552F1F" w:rsidP="008A134A">
            <w:pPr>
              <w:pStyle w:val="Style4"/>
              <w:widowControl/>
              <w:snapToGrid w:val="0"/>
              <w:spacing w:line="240" w:lineRule="auto"/>
              <w:ind w:left="5" w:hanging="5"/>
              <w:jc w:val="both"/>
            </w:pPr>
            <w:r>
              <w:t>2</w:t>
            </w:r>
            <w:r>
              <w:rPr>
                <w:lang w:val="en-US"/>
              </w:rPr>
              <w:t>6</w:t>
            </w:r>
            <w:r>
              <w:t>0</w:t>
            </w:r>
          </w:p>
        </w:tc>
      </w:tr>
      <w:tr w:rsidR="00552F1F" w:rsidRPr="005938EA" w:rsidTr="00552F1F">
        <w:trPr>
          <w:trHeight w:val="716"/>
        </w:trPr>
        <w:tc>
          <w:tcPr>
            <w:tcW w:w="540" w:type="dxa"/>
            <w:tcBorders>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kern w:val="1"/>
                <w:sz w:val="20"/>
                <w:szCs w:val="20"/>
                <w:lang w:eastAsia="ar-SA"/>
              </w:rPr>
              <w:t>4</w:t>
            </w:r>
          </w:p>
        </w:tc>
        <w:tc>
          <w:tcPr>
            <w:tcW w:w="1830" w:type="dxa"/>
            <w:tcBorders>
              <w:left w:val="single" w:sz="4" w:space="0" w:color="000000"/>
              <w:bottom w:val="single" w:sz="4" w:space="0" w:color="000000"/>
            </w:tcBorders>
            <w:shd w:val="clear" w:color="auto" w:fill="auto"/>
            <w:vAlign w:val="center"/>
          </w:tcPr>
          <w:p w:rsidR="00552F1F" w:rsidRDefault="00552F1F" w:rsidP="008A134A">
            <w:pPr>
              <w:spacing w:line="100" w:lineRule="atLeast"/>
              <w:rPr>
                <w:sz w:val="21"/>
                <w:szCs w:val="21"/>
              </w:rPr>
            </w:pPr>
            <w:r>
              <w:rPr>
                <w:color w:val="000000"/>
              </w:rPr>
              <w:t xml:space="preserve">Ника - </w:t>
            </w:r>
            <w:proofErr w:type="spellStart"/>
            <w:r>
              <w:rPr>
                <w:color w:val="000000"/>
              </w:rPr>
              <w:t>Амицид</w:t>
            </w:r>
            <w:proofErr w:type="spellEnd"/>
            <w:r>
              <w:rPr>
                <w:color w:val="000000"/>
              </w:rPr>
              <w:t xml:space="preserve"> </w:t>
            </w:r>
            <w:proofErr w:type="spellStart"/>
            <w:r>
              <w:rPr>
                <w:color w:val="000000"/>
              </w:rPr>
              <w:t>фл</w:t>
            </w:r>
            <w:proofErr w:type="spellEnd"/>
            <w:r>
              <w:rPr>
                <w:color w:val="000000"/>
              </w:rPr>
              <w:t>. 1 л</w:t>
            </w:r>
          </w:p>
        </w:tc>
        <w:tc>
          <w:tcPr>
            <w:tcW w:w="6885" w:type="dxa"/>
            <w:tcBorders>
              <w:left w:val="single" w:sz="4" w:space="0" w:color="000000"/>
              <w:bottom w:val="single" w:sz="4" w:space="0" w:color="000000"/>
            </w:tcBorders>
            <w:shd w:val="clear" w:color="auto" w:fill="auto"/>
          </w:tcPr>
          <w:p w:rsidR="00552F1F" w:rsidRDefault="00552F1F" w:rsidP="008A134A">
            <w:pPr>
              <w:rPr>
                <w:sz w:val="21"/>
                <w:szCs w:val="21"/>
              </w:rPr>
            </w:pPr>
            <w:r>
              <w:rPr>
                <w:sz w:val="21"/>
                <w:szCs w:val="21"/>
              </w:rPr>
              <w:t>Характеристика средства</w:t>
            </w:r>
          </w:p>
          <w:p w:rsidR="00552F1F" w:rsidRDefault="00552F1F" w:rsidP="008A134A">
            <w:pPr>
              <w:rPr>
                <w:sz w:val="21"/>
                <w:szCs w:val="21"/>
              </w:rPr>
            </w:pPr>
            <w:r>
              <w:rPr>
                <w:sz w:val="21"/>
                <w:szCs w:val="21"/>
              </w:rPr>
              <w:t xml:space="preserve">- жидкий концентрат </w:t>
            </w:r>
          </w:p>
          <w:p w:rsidR="00552F1F" w:rsidRDefault="00552F1F" w:rsidP="008A134A">
            <w:pPr>
              <w:rPr>
                <w:sz w:val="21"/>
                <w:szCs w:val="21"/>
              </w:rPr>
            </w:pPr>
            <w:r>
              <w:rPr>
                <w:sz w:val="21"/>
                <w:szCs w:val="21"/>
              </w:rPr>
              <w:t xml:space="preserve">- не содержит  активного хлора, альдегидов, спиртов и перекисных соединений </w:t>
            </w:r>
          </w:p>
          <w:p w:rsidR="00552F1F" w:rsidRDefault="00552F1F" w:rsidP="008A134A">
            <w:pPr>
              <w:rPr>
                <w:sz w:val="21"/>
                <w:szCs w:val="21"/>
              </w:rPr>
            </w:pPr>
            <w:r>
              <w:rPr>
                <w:sz w:val="21"/>
                <w:szCs w:val="21"/>
              </w:rPr>
              <w:t xml:space="preserve">- в качестве действующих веществ содержит третичный амин, ЧАС,  </w:t>
            </w:r>
            <w:proofErr w:type="spellStart"/>
            <w:r>
              <w:rPr>
                <w:sz w:val="21"/>
                <w:szCs w:val="21"/>
              </w:rPr>
              <w:t>гуанидиновые</w:t>
            </w:r>
            <w:proofErr w:type="spellEnd"/>
            <w:r>
              <w:rPr>
                <w:sz w:val="21"/>
                <w:szCs w:val="21"/>
              </w:rPr>
              <w:t xml:space="preserve"> соединения.</w:t>
            </w:r>
          </w:p>
          <w:p w:rsidR="00552F1F" w:rsidRDefault="00552F1F" w:rsidP="008A134A">
            <w:pPr>
              <w:jc w:val="both"/>
              <w:rPr>
                <w:sz w:val="21"/>
                <w:szCs w:val="21"/>
              </w:rPr>
            </w:pPr>
            <w:r>
              <w:rPr>
                <w:sz w:val="21"/>
                <w:szCs w:val="21"/>
              </w:rPr>
              <w:t xml:space="preserve">Антимикробная активность средства </w:t>
            </w:r>
          </w:p>
          <w:p w:rsidR="00552F1F" w:rsidRDefault="00552F1F" w:rsidP="008A134A">
            <w:pPr>
              <w:jc w:val="both"/>
              <w:rPr>
                <w:sz w:val="21"/>
                <w:szCs w:val="21"/>
              </w:rPr>
            </w:pPr>
            <w:r>
              <w:rPr>
                <w:sz w:val="21"/>
                <w:szCs w:val="21"/>
              </w:rPr>
              <w:t xml:space="preserve"> 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w:t>
            </w:r>
            <w:proofErr w:type="spellStart"/>
            <w:r>
              <w:rPr>
                <w:sz w:val="21"/>
                <w:szCs w:val="21"/>
              </w:rPr>
              <w:t>энтеральных</w:t>
            </w:r>
            <w:proofErr w:type="spellEnd"/>
            <w:r>
              <w:rPr>
                <w:sz w:val="21"/>
                <w:szCs w:val="21"/>
              </w:rPr>
              <w:t xml:space="preserve"> и парентеральных гепатитов, ВИЧ, полиомиелита, аденовирусов, вирусов «атипичной пневмонии», «птичьего» гриппа, гриппа человека, герпеса и др.), грибов рода Кандида, Трихофитон и плесневых грибов, возбудителей внутрибольничных инфекций, анаэробной инфекции; </w:t>
            </w:r>
            <w:proofErr w:type="spellStart"/>
            <w:r>
              <w:rPr>
                <w:sz w:val="21"/>
                <w:szCs w:val="21"/>
              </w:rPr>
              <w:t>спороцидной</w:t>
            </w:r>
            <w:proofErr w:type="spellEnd"/>
            <w:r>
              <w:rPr>
                <w:sz w:val="21"/>
                <w:szCs w:val="21"/>
              </w:rPr>
              <w:t xml:space="preserve"> активностью. Средство эффективно в отношении возбудителей особо опасных инфекций (чума, холера, туляремия, сибирская язва).</w:t>
            </w:r>
          </w:p>
          <w:p w:rsidR="00552F1F" w:rsidRDefault="00552F1F" w:rsidP="008A134A">
            <w:pPr>
              <w:rPr>
                <w:sz w:val="21"/>
                <w:szCs w:val="21"/>
              </w:rPr>
            </w:pPr>
            <w:r>
              <w:rPr>
                <w:sz w:val="21"/>
                <w:szCs w:val="21"/>
              </w:rPr>
              <w:t>Требования к средству:</w:t>
            </w:r>
          </w:p>
          <w:p w:rsidR="00552F1F" w:rsidRDefault="00552F1F" w:rsidP="008A134A">
            <w:pPr>
              <w:jc w:val="both"/>
              <w:rPr>
                <w:sz w:val="21"/>
                <w:szCs w:val="21"/>
              </w:rPr>
            </w:pPr>
            <w:r>
              <w:rPr>
                <w:sz w:val="21"/>
                <w:szCs w:val="21"/>
              </w:rPr>
              <w:t xml:space="preserve">- низкая токсичность - 4 класс (малоопасные вещества) при нанесении на </w:t>
            </w:r>
            <w:proofErr w:type="gramStart"/>
            <w:r>
              <w:rPr>
                <w:sz w:val="21"/>
                <w:szCs w:val="21"/>
              </w:rPr>
              <w:t>кожу ,</w:t>
            </w:r>
            <w:proofErr w:type="gramEnd"/>
            <w:r>
              <w:rPr>
                <w:sz w:val="21"/>
                <w:szCs w:val="21"/>
              </w:rPr>
              <w:t xml:space="preserve"> при  ингаляционном воздействии в виде паров по степени летучести (С20) средство также мало опасно;</w:t>
            </w:r>
          </w:p>
          <w:p w:rsidR="00552F1F" w:rsidRDefault="00552F1F" w:rsidP="008A134A">
            <w:pPr>
              <w:jc w:val="both"/>
              <w:rPr>
                <w:sz w:val="21"/>
                <w:szCs w:val="21"/>
              </w:rPr>
            </w:pPr>
            <w:r>
              <w:rPr>
                <w:sz w:val="21"/>
                <w:szCs w:val="21"/>
              </w:rPr>
              <w:t>- обеззараживание объектов способом протирания можно проводить в присутствии людей.</w:t>
            </w:r>
          </w:p>
          <w:p w:rsidR="00552F1F" w:rsidRDefault="00552F1F" w:rsidP="008A134A">
            <w:pPr>
              <w:rPr>
                <w:sz w:val="21"/>
                <w:szCs w:val="21"/>
              </w:rPr>
            </w:pPr>
            <w:r>
              <w:rPr>
                <w:sz w:val="21"/>
                <w:szCs w:val="21"/>
              </w:rPr>
              <w:t xml:space="preserve">Срок годности рабочих растворов: не менее 28 суток </w:t>
            </w:r>
          </w:p>
          <w:p w:rsidR="00552F1F" w:rsidRDefault="00552F1F" w:rsidP="008A134A">
            <w:pPr>
              <w:rPr>
                <w:sz w:val="21"/>
                <w:szCs w:val="21"/>
              </w:rPr>
            </w:pPr>
            <w:r>
              <w:rPr>
                <w:sz w:val="21"/>
                <w:szCs w:val="21"/>
              </w:rPr>
              <w:t xml:space="preserve">Количество рабочего раствора, приготавливаемого из одного литра концентрата, в том числе: </w:t>
            </w:r>
          </w:p>
          <w:p w:rsidR="00552F1F" w:rsidRDefault="00552F1F" w:rsidP="008A134A">
            <w:pPr>
              <w:jc w:val="both"/>
              <w:rPr>
                <w:sz w:val="21"/>
                <w:szCs w:val="21"/>
              </w:rPr>
            </w:pPr>
            <w:r>
              <w:rPr>
                <w:sz w:val="21"/>
                <w:szCs w:val="21"/>
              </w:rPr>
              <w:t>- для дезинфекции поверхностей при  бактериальных инфекциях не менее 10 000 л при  времени экспозиции не более 60 мин</w:t>
            </w:r>
          </w:p>
          <w:p w:rsidR="00552F1F" w:rsidRDefault="00552F1F" w:rsidP="008A134A">
            <w:pPr>
              <w:jc w:val="both"/>
              <w:rPr>
                <w:sz w:val="21"/>
                <w:szCs w:val="21"/>
              </w:rPr>
            </w:pPr>
            <w:r>
              <w:rPr>
                <w:sz w:val="21"/>
                <w:szCs w:val="21"/>
              </w:rPr>
              <w:t>- для дезинфекции поверхностей при  туберкулезе не менее 400 л при времени экспозиции   не более 60 мин</w:t>
            </w:r>
          </w:p>
          <w:p w:rsidR="00552F1F" w:rsidRDefault="00552F1F" w:rsidP="008A134A">
            <w:pPr>
              <w:jc w:val="both"/>
              <w:rPr>
                <w:sz w:val="21"/>
                <w:szCs w:val="21"/>
              </w:rPr>
            </w:pPr>
            <w:r>
              <w:rPr>
                <w:sz w:val="21"/>
                <w:szCs w:val="21"/>
              </w:rPr>
              <w:t>- для дезинфекции поверхностей, приборов, оборудования, санитарного транспорта, транспорта для перевозки пищевых продуктов при  инфекциях вирусной этиологии не менее 1 000 л при времени экспозиции не более 60 мин</w:t>
            </w:r>
          </w:p>
          <w:p w:rsidR="00552F1F" w:rsidRDefault="00552F1F" w:rsidP="008A134A">
            <w:pPr>
              <w:jc w:val="both"/>
              <w:rPr>
                <w:sz w:val="21"/>
                <w:szCs w:val="21"/>
              </w:rPr>
            </w:pPr>
            <w:r>
              <w:rPr>
                <w:sz w:val="21"/>
                <w:szCs w:val="21"/>
              </w:rPr>
              <w:lastRenderedPageBreak/>
              <w:t xml:space="preserve">- для дезинфекции приспособлений наркозно-дыхательной аппаратуры, анестезиологического оборудования </w:t>
            </w:r>
            <w:proofErr w:type="gramStart"/>
            <w:r>
              <w:rPr>
                <w:sz w:val="21"/>
                <w:szCs w:val="21"/>
              </w:rPr>
              <w:t>при  инфекциях</w:t>
            </w:r>
            <w:proofErr w:type="gramEnd"/>
            <w:r>
              <w:rPr>
                <w:sz w:val="21"/>
                <w:szCs w:val="21"/>
              </w:rPr>
              <w:t xml:space="preserve"> вирусной этиологии  не менее  1000 л  при времени экспозиции не более 60 мин ;</w:t>
            </w:r>
          </w:p>
          <w:p w:rsidR="00552F1F" w:rsidRDefault="00552F1F" w:rsidP="008A134A">
            <w:pPr>
              <w:jc w:val="both"/>
              <w:rPr>
                <w:sz w:val="21"/>
                <w:szCs w:val="21"/>
              </w:rPr>
            </w:pPr>
            <w:r>
              <w:rPr>
                <w:sz w:val="21"/>
                <w:szCs w:val="21"/>
              </w:rPr>
              <w:t>- для дезинфекции поверхностей при  поражении плесневыми грибами не менее 1 000 л при времени экспозиции не более 30 мин</w:t>
            </w:r>
          </w:p>
          <w:p w:rsidR="00552F1F" w:rsidRDefault="00552F1F" w:rsidP="008A134A">
            <w:pPr>
              <w:jc w:val="both"/>
              <w:rPr>
                <w:sz w:val="21"/>
                <w:szCs w:val="21"/>
              </w:rPr>
            </w:pPr>
            <w:r>
              <w:rPr>
                <w:sz w:val="21"/>
                <w:szCs w:val="21"/>
              </w:rPr>
              <w:t>- для дезинфекции медицинских отходов, остатков пищи не менее 400 л при времени экспозиции не более 90 мин</w:t>
            </w:r>
          </w:p>
          <w:p w:rsidR="00552F1F" w:rsidRDefault="00552F1F" w:rsidP="008A134A">
            <w:pPr>
              <w:jc w:val="both"/>
              <w:rPr>
                <w:sz w:val="21"/>
                <w:szCs w:val="21"/>
              </w:rPr>
            </w:pPr>
            <w:r>
              <w:rPr>
                <w:sz w:val="21"/>
                <w:szCs w:val="21"/>
              </w:rPr>
              <w:t>- для дезинфекции жидких отходов, выделений больного не менее 200 л при времени экспозиции не более 90 мин</w:t>
            </w:r>
          </w:p>
          <w:p w:rsidR="00552F1F" w:rsidRDefault="00552F1F" w:rsidP="008A134A">
            <w:pPr>
              <w:jc w:val="both"/>
              <w:rPr>
                <w:sz w:val="21"/>
                <w:szCs w:val="21"/>
              </w:rPr>
            </w:pPr>
            <w:r>
              <w:rPr>
                <w:sz w:val="21"/>
                <w:szCs w:val="21"/>
              </w:rPr>
              <w:t>- для дезинфекции воздуха методом распыления при вирусных инфекциях не менее 100 л при времени экспозиции не более 15 мин</w:t>
            </w:r>
          </w:p>
          <w:p w:rsidR="00552F1F" w:rsidRDefault="00552F1F" w:rsidP="008A134A">
            <w:pPr>
              <w:jc w:val="both"/>
              <w:rPr>
                <w:sz w:val="21"/>
                <w:szCs w:val="21"/>
              </w:rPr>
            </w:pPr>
            <w:r>
              <w:rPr>
                <w:sz w:val="21"/>
                <w:szCs w:val="21"/>
              </w:rPr>
              <w:t>- для дезинфекции, совмещенной с предстерилизационной очисткой, изделий медицинского назначения (включая инструменты к эндоскопам, хирургические и стоматологические инструменты и материалы) ручным способом не менее 100 л при времени экспозиции не более 15 мин</w:t>
            </w:r>
          </w:p>
          <w:p w:rsidR="00552F1F" w:rsidRDefault="00552F1F" w:rsidP="008A134A">
            <w:pPr>
              <w:jc w:val="both"/>
              <w:rPr>
                <w:sz w:val="21"/>
                <w:szCs w:val="21"/>
              </w:rPr>
            </w:pPr>
            <w:r>
              <w:rPr>
                <w:sz w:val="21"/>
                <w:szCs w:val="21"/>
              </w:rPr>
              <w:t>- для дезинфекции высокого уровня жестких и гибких эндоскопов и инструментов к ним  не менее 33 л при времени экспозиции не более  30 мин.</w:t>
            </w:r>
          </w:p>
          <w:p w:rsidR="00552F1F" w:rsidRDefault="00552F1F" w:rsidP="008A134A">
            <w:pPr>
              <w:jc w:val="both"/>
              <w:rPr>
                <w:sz w:val="21"/>
                <w:szCs w:val="21"/>
              </w:rPr>
            </w:pPr>
            <w:r>
              <w:rPr>
                <w:sz w:val="21"/>
                <w:szCs w:val="21"/>
              </w:rPr>
              <w:t>- для дезинфекции поверхностей при особо опасных инфекциях (чума, туляремия) не менее 200 л при времени экспозиции не более 60 мин.</w:t>
            </w:r>
          </w:p>
          <w:p w:rsidR="00552F1F" w:rsidRDefault="00552F1F" w:rsidP="008A134A">
            <w:pPr>
              <w:jc w:val="both"/>
              <w:rPr>
                <w:rFonts w:ascii="Cambria" w:hAnsi="Cambria" w:cs="Cambria"/>
                <w:sz w:val="21"/>
                <w:szCs w:val="21"/>
              </w:rPr>
            </w:pPr>
            <w:r>
              <w:rPr>
                <w:sz w:val="21"/>
                <w:szCs w:val="21"/>
              </w:rPr>
              <w:t xml:space="preserve">Упаковка: Флакон объемом не менее 1литра. </w:t>
            </w:r>
          </w:p>
          <w:p w:rsidR="00552F1F" w:rsidRDefault="00552F1F" w:rsidP="008A134A">
            <w:pPr>
              <w:snapToGrid w:val="0"/>
              <w:ind w:left="5" w:hanging="5"/>
              <w:jc w:val="both"/>
              <w:rPr>
                <w:sz w:val="20"/>
                <w:szCs w:val="20"/>
              </w:rPr>
            </w:pPr>
            <w:r>
              <w:rPr>
                <w:rFonts w:ascii="Cambria" w:hAnsi="Cambria" w:cs="Cambria"/>
                <w:sz w:val="21"/>
                <w:szCs w:val="21"/>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c>
          <w:tcPr>
            <w:tcW w:w="660" w:type="dxa"/>
            <w:tcBorders>
              <w:left w:val="single" w:sz="4" w:space="0" w:color="000000"/>
              <w:bottom w:val="single" w:sz="4" w:space="0" w:color="000000"/>
            </w:tcBorders>
            <w:shd w:val="clear" w:color="auto" w:fill="auto"/>
          </w:tcPr>
          <w:p w:rsidR="00552F1F" w:rsidRDefault="00552F1F" w:rsidP="008A134A">
            <w:pPr>
              <w:snapToGrid w:val="0"/>
              <w:jc w:val="both"/>
            </w:pPr>
            <w:r>
              <w:rPr>
                <w:sz w:val="20"/>
                <w:szCs w:val="20"/>
              </w:rPr>
              <w:lastRenderedPageBreak/>
              <w:t>флакон</w:t>
            </w:r>
          </w:p>
        </w:tc>
        <w:tc>
          <w:tcPr>
            <w:tcW w:w="1175" w:type="dxa"/>
            <w:tcBorders>
              <w:left w:val="single" w:sz="4" w:space="0" w:color="000000"/>
              <w:bottom w:val="single" w:sz="4" w:space="0" w:color="000000"/>
              <w:right w:val="single" w:sz="4" w:space="0" w:color="000000"/>
            </w:tcBorders>
            <w:shd w:val="clear" w:color="auto" w:fill="auto"/>
          </w:tcPr>
          <w:p w:rsidR="00552F1F" w:rsidRPr="00890C71" w:rsidRDefault="00552F1F" w:rsidP="008A134A">
            <w:pPr>
              <w:snapToGrid w:val="0"/>
              <w:jc w:val="both"/>
              <w:rPr>
                <w:lang w:val="en-US"/>
              </w:rPr>
            </w:pPr>
            <w:r>
              <w:rPr>
                <w:lang w:val="en-US"/>
              </w:rPr>
              <w:t>25</w:t>
            </w:r>
          </w:p>
        </w:tc>
      </w:tr>
      <w:tr w:rsidR="00552F1F" w:rsidRPr="005938EA" w:rsidTr="00552F1F">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sz w:val="20"/>
                <w:szCs w:val="20"/>
                <w:lang w:eastAsia="ar-SA"/>
              </w:rPr>
              <w:t>5</w:t>
            </w:r>
          </w:p>
        </w:tc>
        <w:tc>
          <w:tcPr>
            <w:tcW w:w="1830" w:type="dxa"/>
            <w:tcBorders>
              <w:top w:val="single" w:sz="4" w:space="0" w:color="000000"/>
              <w:left w:val="single" w:sz="4" w:space="0" w:color="000000"/>
              <w:bottom w:val="single" w:sz="4" w:space="0" w:color="000000"/>
            </w:tcBorders>
            <w:shd w:val="clear" w:color="auto" w:fill="auto"/>
            <w:vAlign w:val="center"/>
          </w:tcPr>
          <w:p w:rsidR="00552F1F" w:rsidRDefault="00552F1F" w:rsidP="008A134A">
            <w:pPr>
              <w:spacing w:line="100" w:lineRule="atLeast"/>
              <w:rPr>
                <w:sz w:val="21"/>
                <w:szCs w:val="21"/>
              </w:rPr>
            </w:pPr>
            <w:r>
              <w:rPr>
                <w:color w:val="000000"/>
              </w:rPr>
              <w:t xml:space="preserve">Ника- </w:t>
            </w:r>
            <w:proofErr w:type="spellStart"/>
            <w:r>
              <w:rPr>
                <w:color w:val="000000"/>
              </w:rPr>
              <w:t>Изосептик</w:t>
            </w:r>
            <w:proofErr w:type="spellEnd"/>
            <w:r>
              <w:rPr>
                <w:color w:val="000000"/>
              </w:rPr>
              <w:t xml:space="preserve"> </w:t>
            </w:r>
            <w:proofErr w:type="spellStart"/>
            <w:r>
              <w:rPr>
                <w:color w:val="000000"/>
              </w:rPr>
              <w:t>фл</w:t>
            </w:r>
            <w:proofErr w:type="spellEnd"/>
            <w:r>
              <w:rPr>
                <w:color w:val="000000"/>
              </w:rPr>
              <w:t>. 1 л</w:t>
            </w:r>
          </w:p>
        </w:tc>
        <w:tc>
          <w:tcPr>
            <w:tcW w:w="6885" w:type="dxa"/>
            <w:tcBorders>
              <w:top w:val="single" w:sz="4" w:space="0" w:color="000000"/>
              <w:left w:val="single" w:sz="4" w:space="0" w:color="000000"/>
              <w:bottom w:val="single" w:sz="4" w:space="0" w:color="000000"/>
            </w:tcBorders>
            <w:shd w:val="clear" w:color="auto" w:fill="auto"/>
          </w:tcPr>
          <w:p w:rsidR="00552F1F" w:rsidRDefault="00552F1F" w:rsidP="008A134A">
            <w:pPr>
              <w:rPr>
                <w:sz w:val="21"/>
                <w:szCs w:val="21"/>
              </w:rPr>
            </w:pPr>
            <w:r>
              <w:rPr>
                <w:sz w:val="21"/>
                <w:szCs w:val="21"/>
              </w:rPr>
              <w:t>Характеристика средства</w:t>
            </w:r>
          </w:p>
          <w:p w:rsidR="00552F1F" w:rsidRDefault="00552F1F" w:rsidP="008A134A">
            <w:pPr>
              <w:rPr>
                <w:sz w:val="21"/>
                <w:szCs w:val="21"/>
              </w:rPr>
            </w:pPr>
            <w:r>
              <w:rPr>
                <w:sz w:val="21"/>
                <w:szCs w:val="21"/>
              </w:rPr>
              <w:t>- готовый к применению раствор</w:t>
            </w:r>
          </w:p>
          <w:p w:rsidR="00552F1F" w:rsidRDefault="00552F1F" w:rsidP="008A134A">
            <w:pPr>
              <w:rPr>
                <w:sz w:val="21"/>
                <w:szCs w:val="21"/>
              </w:rPr>
            </w:pPr>
            <w:r>
              <w:rPr>
                <w:sz w:val="21"/>
                <w:szCs w:val="21"/>
              </w:rPr>
              <w:t xml:space="preserve">- не содержит  активного хлора, альдегидов, </w:t>
            </w:r>
            <w:proofErr w:type="spellStart"/>
            <w:r>
              <w:rPr>
                <w:sz w:val="21"/>
                <w:szCs w:val="21"/>
              </w:rPr>
              <w:t>гуанидиновых</w:t>
            </w:r>
            <w:proofErr w:type="spellEnd"/>
            <w:r>
              <w:rPr>
                <w:sz w:val="21"/>
                <w:szCs w:val="21"/>
              </w:rPr>
              <w:t xml:space="preserve"> соединений</w:t>
            </w:r>
          </w:p>
          <w:p w:rsidR="00552F1F" w:rsidRDefault="00552F1F" w:rsidP="008A134A">
            <w:pPr>
              <w:rPr>
                <w:sz w:val="21"/>
                <w:szCs w:val="21"/>
              </w:rPr>
            </w:pPr>
            <w:r>
              <w:rPr>
                <w:sz w:val="21"/>
                <w:szCs w:val="21"/>
              </w:rPr>
              <w:t>- в качестве действующих веществ  содержит  спирт не менее 60% .</w:t>
            </w:r>
          </w:p>
          <w:p w:rsidR="00552F1F" w:rsidRDefault="00552F1F" w:rsidP="008A134A">
            <w:pPr>
              <w:jc w:val="both"/>
              <w:rPr>
                <w:sz w:val="21"/>
                <w:szCs w:val="21"/>
              </w:rPr>
            </w:pPr>
            <w:r>
              <w:rPr>
                <w:sz w:val="21"/>
                <w:szCs w:val="21"/>
              </w:rPr>
              <w:t xml:space="preserve">Средство обладает антимикробной активностью в </w:t>
            </w:r>
            <w:proofErr w:type="gramStart"/>
            <w:r>
              <w:rPr>
                <w:sz w:val="21"/>
                <w:szCs w:val="21"/>
              </w:rPr>
              <w:t>отношении  грамположительных</w:t>
            </w:r>
            <w:proofErr w:type="gramEnd"/>
            <w:r>
              <w:rPr>
                <w:sz w:val="21"/>
                <w:szCs w:val="21"/>
              </w:rPr>
              <w:t xml:space="preserve"> и грамотрицательных бактерий (включая  микобактерии туберкулеза), вирусов (включая гепатит, ВИЧ-инфекцию, аденовирус и пр.),грибов рода Кандида, Трихофитон (</w:t>
            </w:r>
            <w:proofErr w:type="spellStart"/>
            <w:r>
              <w:rPr>
                <w:sz w:val="21"/>
                <w:szCs w:val="21"/>
              </w:rPr>
              <w:t>дерматофиты</w:t>
            </w:r>
            <w:proofErr w:type="spellEnd"/>
            <w:r>
              <w:rPr>
                <w:sz w:val="21"/>
                <w:szCs w:val="21"/>
              </w:rPr>
              <w:t>).</w:t>
            </w:r>
          </w:p>
          <w:p w:rsidR="00552F1F" w:rsidRDefault="00552F1F" w:rsidP="008A134A">
            <w:pPr>
              <w:rPr>
                <w:sz w:val="21"/>
                <w:szCs w:val="21"/>
              </w:rPr>
            </w:pPr>
            <w:r>
              <w:rPr>
                <w:sz w:val="21"/>
                <w:szCs w:val="21"/>
              </w:rPr>
              <w:t>Требования к средству</w:t>
            </w:r>
          </w:p>
          <w:p w:rsidR="00552F1F" w:rsidRDefault="00552F1F" w:rsidP="008A134A">
            <w:pPr>
              <w:rPr>
                <w:sz w:val="21"/>
                <w:szCs w:val="21"/>
              </w:rPr>
            </w:pPr>
            <w:r>
              <w:rPr>
                <w:sz w:val="21"/>
                <w:szCs w:val="21"/>
              </w:rPr>
              <w:t>По параметрам острой токсичности при введении в желудок и нанесении на кожу относится к 4 классу малоопасных веществ (ГОСТ 12.1.007-76).</w:t>
            </w:r>
          </w:p>
          <w:p w:rsidR="00552F1F" w:rsidRDefault="00552F1F" w:rsidP="008A134A">
            <w:pPr>
              <w:rPr>
                <w:sz w:val="21"/>
                <w:szCs w:val="21"/>
              </w:rPr>
            </w:pPr>
            <w:r>
              <w:rPr>
                <w:sz w:val="21"/>
                <w:szCs w:val="21"/>
              </w:rPr>
              <w:t>Применение:</w:t>
            </w:r>
          </w:p>
          <w:p w:rsidR="00552F1F" w:rsidRDefault="00552F1F" w:rsidP="008A134A">
            <w:pPr>
              <w:jc w:val="both"/>
              <w:rPr>
                <w:sz w:val="21"/>
                <w:szCs w:val="21"/>
              </w:rPr>
            </w:pPr>
            <w:r>
              <w:rPr>
                <w:sz w:val="21"/>
                <w:szCs w:val="21"/>
              </w:rPr>
              <w:t xml:space="preserve">   - для обработки рук </w:t>
            </w:r>
            <w:proofErr w:type="gramStart"/>
            <w:r>
              <w:rPr>
                <w:sz w:val="21"/>
                <w:szCs w:val="21"/>
              </w:rPr>
              <w:t>хирургов :</w:t>
            </w:r>
            <w:proofErr w:type="gramEnd"/>
            <w:r>
              <w:rPr>
                <w:sz w:val="21"/>
                <w:szCs w:val="21"/>
              </w:rPr>
              <w:t xml:space="preserve"> двукратное нанесение   не более  чем по 5 мл   при времени обработки не более 5 минут;</w:t>
            </w:r>
          </w:p>
          <w:p w:rsidR="00552F1F" w:rsidRDefault="00552F1F" w:rsidP="008A134A">
            <w:pPr>
              <w:jc w:val="both"/>
              <w:rPr>
                <w:sz w:val="21"/>
                <w:szCs w:val="21"/>
              </w:rPr>
            </w:pPr>
            <w:r>
              <w:rPr>
                <w:sz w:val="21"/>
                <w:szCs w:val="21"/>
              </w:rPr>
              <w:t>- для обработки операционного поля,  локтевых сгибов доноров методом протирания двукратно -  при времени  обработки не более 2 минут;</w:t>
            </w:r>
          </w:p>
          <w:p w:rsidR="00552F1F" w:rsidRDefault="00552F1F" w:rsidP="008A134A">
            <w:pPr>
              <w:jc w:val="both"/>
              <w:rPr>
                <w:sz w:val="21"/>
                <w:szCs w:val="21"/>
              </w:rPr>
            </w:pPr>
            <w:r>
              <w:rPr>
                <w:sz w:val="21"/>
                <w:szCs w:val="21"/>
              </w:rPr>
              <w:t>- для обработки инъекционного поля  методом протирания при  времени экспозиции не более 1 минуты;</w:t>
            </w:r>
          </w:p>
          <w:p w:rsidR="00552F1F" w:rsidRDefault="00552F1F" w:rsidP="008A134A">
            <w:pPr>
              <w:jc w:val="both"/>
              <w:rPr>
                <w:sz w:val="21"/>
                <w:szCs w:val="21"/>
              </w:rPr>
            </w:pPr>
            <w:r>
              <w:rPr>
                <w:sz w:val="21"/>
                <w:szCs w:val="21"/>
              </w:rPr>
              <w:t>- для гигиенической обработки рук: не менее 3 мл при времени обработки не более 30 секунд;</w:t>
            </w:r>
          </w:p>
          <w:p w:rsidR="00552F1F" w:rsidRDefault="00552F1F" w:rsidP="008A134A">
            <w:pPr>
              <w:jc w:val="both"/>
              <w:rPr>
                <w:sz w:val="21"/>
                <w:szCs w:val="21"/>
              </w:rPr>
            </w:pPr>
            <w:r>
              <w:rPr>
                <w:sz w:val="21"/>
                <w:szCs w:val="21"/>
              </w:rPr>
              <w:t xml:space="preserve">- для дезинфекции небольших по площади поверхностей методом орошения расход средства составляет не более 50 мл на 1 кв. </w:t>
            </w:r>
            <w:proofErr w:type="gramStart"/>
            <w:r>
              <w:rPr>
                <w:sz w:val="21"/>
                <w:szCs w:val="21"/>
              </w:rPr>
              <w:t>м .</w:t>
            </w:r>
            <w:proofErr w:type="gramEnd"/>
          </w:p>
          <w:p w:rsidR="00552F1F" w:rsidRDefault="00552F1F" w:rsidP="008A134A">
            <w:pPr>
              <w:jc w:val="both"/>
              <w:rPr>
                <w:rFonts w:ascii="Cambria" w:hAnsi="Cambria" w:cs="Cambria"/>
                <w:sz w:val="21"/>
                <w:szCs w:val="21"/>
              </w:rPr>
            </w:pPr>
            <w:r>
              <w:rPr>
                <w:sz w:val="21"/>
                <w:szCs w:val="21"/>
              </w:rPr>
              <w:t xml:space="preserve">Упаковка: Флакон объемом не менее 1литра. </w:t>
            </w:r>
          </w:p>
          <w:p w:rsidR="00552F1F" w:rsidRDefault="00552F1F" w:rsidP="008A134A">
            <w:pPr>
              <w:snapToGrid w:val="0"/>
              <w:jc w:val="both"/>
              <w:rPr>
                <w:sz w:val="20"/>
                <w:szCs w:val="20"/>
              </w:rPr>
            </w:pPr>
            <w:r>
              <w:rPr>
                <w:rFonts w:ascii="Cambria" w:hAnsi="Cambria" w:cs="Cambria"/>
                <w:sz w:val="21"/>
                <w:szCs w:val="21"/>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c>
          <w:tcPr>
            <w:tcW w:w="660"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jc w:val="both"/>
            </w:pPr>
            <w:r>
              <w:rPr>
                <w:sz w:val="20"/>
                <w:szCs w:val="20"/>
              </w:rPr>
              <w:t>флакон</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52F1F" w:rsidRPr="00890C71" w:rsidRDefault="00552F1F" w:rsidP="008A134A">
            <w:pPr>
              <w:snapToGrid w:val="0"/>
              <w:jc w:val="both"/>
              <w:rPr>
                <w:lang w:val="en-US"/>
              </w:rPr>
            </w:pPr>
            <w:r>
              <w:rPr>
                <w:lang w:val="en-US"/>
              </w:rPr>
              <w:t>240</w:t>
            </w:r>
          </w:p>
        </w:tc>
      </w:tr>
      <w:tr w:rsidR="00552F1F" w:rsidRPr="005938EA" w:rsidTr="00552F1F">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Calibri"/>
                <w:sz w:val="20"/>
                <w:szCs w:val="20"/>
                <w:lang w:eastAsia="ar-SA"/>
              </w:rPr>
              <w:t>6</w:t>
            </w:r>
          </w:p>
        </w:tc>
        <w:tc>
          <w:tcPr>
            <w:tcW w:w="1830" w:type="dxa"/>
            <w:tcBorders>
              <w:top w:val="single" w:sz="4" w:space="0" w:color="000000"/>
              <w:left w:val="single" w:sz="4" w:space="0" w:color="000000"/>
              <w:bottom w:val="single" w:sz="4" w:space="0" w:color="000000"/>
            </w:tcBorders>
            <w:shd w:val="clear" w:color="auto" w:fill="auto"/>
            <w:vAlign w:val="center"/>
          </w:tcPr>
          <w:p w:rsidR="00552F1F" w:rsidRDefault="00552F1F" w:rsidP="008A134A">
            <w:pPr>
              <w:spacing w:line="100" w:lineRule="atLeast"/>
              <w:rPr>
                <w:sz w:val="21"/>
                <w:szCs w:val="21"/>
              </w:rPr>
            </w:pPr>
            <w:r>
              <w:rPr>
                <w:color w:val="000000"/>
              </w:rPr>
              <w:t xml:space="preserve">Ника- </w:t>
            </w:r>
            <w:proofErr w:type="spellStart"/>
            <w:r>
              <w:rPr>
                <w:color w:val="000000"/>
              </w:rPr>
              <w:t>Изосептик</w:t>
            </w:r>
            <w:proofErr w:type="spellEnd"/>
            <w:r>
              <w:rPr>
                <w:color w:val="000000"/>
              </w:rPr>
              <w:t xml:space="preserve"> </w:t>
            </w:r>
            <w:proofErr w:type="spellStart"/>
            <w:r>
              <w:rPr>
                <w:color w:val="000000"/>
              </w:rPr>
              <w:t>фл</w:t>
            </w:r>
            <w:proofErr w:type="spellEnd"/>
            <w:r>
              <w:rPr>
                <w:color w:val="000000"/>
              </w:rPr>
              <w:t xml:space="preserve">. </w:t>
            </w:r>
            <w:r>
              <w:rPr>
                <w:color w:val="000000"/>
                <w:lang w:val="en-US"/>
              </w:rPr>
              <w:t>0.</w:t>
            </w:r>
            <w:r w:rsidR="00335E38">
              <w:rPr>
                <w:color w:val="000000"/>
              </w:rPr>
              <w:t>7</w:t>
            </w:r>
            <w:r>
              <w:rPr>
                <w:color w:val="000000"/>
                <w:lang w:val="en-US"/>
              </w:rPr>
              <w:t>5</w:t>
            </w:r>
            <w:r>
              <w:rPr>
                <w:color w:val="000000"/>
              </w:rPr>
              <w:t xml:space="preserve"> л</w:t>
            </w:r>
          </w:p>
        </w:tc>
        <w:tc>
          <w:tcPr>
            <w:tcW w:w="6885" w:type="dxa"/>
            <w:tcBorders>
              <w:top w:val="single" w:sz="4" w:space="0" w:color="000000"/>
              <w:left w:val="single" w:sz="4" w:space="0" w:color="000000"/>
              <w:bottom w:val="single" w:sz="4" w:space="0" w:color="000000"/>
            </w:tcBorders>
            <w:shd w:val="clear" w:color="auto" w:fill="auto"/>
          </w:tcPr>
          <w:p w:rsidR="00552F1F" w:rsidRDefault="00552F1F" w:rsidP="008A134A">
            <w:pPr>
              <w:rPr>
                <w:sz w:val="21"/>
                <w:szCs w:val="21"/>
              </w:rPr>
            </w:pPr>
            <w:r>
              <w:rPr>
                <w:sz w:val="21"/>
                <w:szCs w:val="21"/>
              </w:rPr>
              <w:t>Характеристика средства</w:t>
            </w:r>
          </w:p>
          <w:p w:rsidR="00552F1F" w:rsidRDefault="00552F1F" w:rsidP="008A134A">
            <w:pPr>
              <w:rPr>
                <w:sz w:val="21"/>
                <w:szCs w:val="21"/>
              </w:rPr>
            </w:pPr>
            <w:r>
              <w:rPr>
                <w:sz w:val="21"/>
                <w:szCs w:val="21"/>
              </w:rPr>
              <w:t>- готовый к применению раствор</w:t>
            </w:r>
          </w:p>
          <w:p w:rsidR="00552F1F" w:rsidRDefault="00552F1F" w:rsidP="008A134A">
            <w:pPr>
              <w:rPr>
                <w:sz w:val="21"/>
                <w:szCs w:val="21"/>
              </w:rPr>
            </w:pPr>
            <w:r>
              <w:rPr>
                <w:sz w:val="21"/>
                <w:szCs w:val="21"/>
              </w:rPr>
              <w:t xml:space="preserve">- не содержит  активного хлора, альдегидов, </w:t>
            </w:r>
            <w:proofErr w:type="spellStart"/>
            <w:r>
              <w:rPr>
                <w:sz w:val="21"/>
                <w:szCs w:val="21"/>
              </w:rPr>
              <w:t>гуанидиновых</w:t>
            </w:r>
            <w:proofErr w:type="spellEnd"/>
            <w:r>
              <w:rPr>
                <w:sz w:val="21"/>
                <w:szCs w:val="21"/>
              </w:rPr>
              <w:t xml:space="preserve"> соединений</w:t>
            </w:r>
          </w:p>
          <w:p w:rsidR="00552F1F" w:rsidRDefault="00552F1F" w:rsidP="008A134A">
            <w:pPr>
              <w:rPr>
                <w:sz w:val="21"/>
                <w:szCs w:val="21"/>
              </w:rPr>
            </w:pPr>
            <w:r>
              <w:rPr>
                <w:sz w:val="21"/>
                <w:szCs w:val="21"/>
              </w:rPr>
              <w:t>- в качестве действующих веществ  содержит  спирт не менее 60% .</w:t>
            </w:r>
          </w:p>
          <w:p w:rsidR="00552F1F" w:rsidRDefault="00552F1F" w:rsidP="008A134A">
            <w:pPr>
              <w:jc w:val="both"/>
              <w:rPr>
                <w:sz w:val="21"/>
                <w:szCs w:val="21"/>
              </w:rPr>
            </w:pPr>
            <w:r>
              <w:rPr>
                <w:sz w:val="21"/>
                <w:szCs w:val="21"/>
              </w:rPr>
              <w:t xml:space="preserve">Средство обладает антимикробной активностью в </w:t>
            </w:r>
            <w:proofErr w:type="gramStart"/>
            <w:r>
              <w:rPr>
                <w:sz w:val="21"/>
                <w:szCs w:val="21"/>
              </w:rPr>
              <w:t>отношении  грамположительных</w:t>
            </w:r>
            <w:proofErr w:type="gramEnd"/>
            <w:r>
              <w:rPr>
                <w:sz w:val="21"/>
                <w:szCs w:val="21"/>
              </w:rPr>
              <w:t xml:space="preserve"> и грамотрицательных бактерий (включая  микобактерии туберкулеза), вирусов (включая гепатит, ВИЧ-инфекцию, аденовирус и пр.),грибов рода Кандида, Трихофитон (</w:t>
            </w:r>
            <w:proofErr w:type="spellStart"/>
            <w:r>
              <w:rPr>
                <w:sz w:val="21"/>
                <w:szCs w:val="21"/>
              </w:rPr>
              <w:t>дерматофиты</w:t>
            </w:r>
            <w:proofErr w:type="spellEnd"/>
            <w:r>
              <w:rPr>
                <w:sz w:val="21"/>
                <w:szCs w:val="21"/>
              </w:rPr>
              <w:t>).</w:t>
            </w:r>
          </w:p>
          <w:p w:rsidR="00552F1F" w:rsidRDefault="00552F1F" w:rsidP="008A134A">
            <w:pPr>
              <w:rPr>
                <w:sz w:val="21"/>
                <w:szCs w:val="21"/>
              </w:rPr>
            </w:pPr>
            <w:r>
              <w:rPr>
                <w:sz w:val="21"/>
                <w:szCs w:val="21"/>
              </w:rPr>
              <w:t>Требования к средству</w:t>
            </w:r>
          </w:p>
          <w:p w:rsidR="00552F1F" w:rsidRDefault="00552F1F" w:rsidP="008A134A">
            <w:pPr>
              <w:rPr>
                <w:sz w:val="21"/>
                <w:szCs w:val="21"/>
              </w:rPr>
            </w:pPr>
            <w:r>
              <w:rPr>
                <w:sz w:val="21"/>
                <w:szCs w:val="21"/>
              </w:rPr>
              <w:t>По параметрам острой токсичности при введении в желудок и нанесении на кожу относится к 4 классу малоопасных веществ (ГОСТ 12.1.007-76).</w:t>
            </w:r>
          </w:p>
          <w:p w:rsidR="00552F1F" w:rsidRDefault="00552F1F" w:rsidP="008A134A">
            <w:pPr>
              <w:rPr>
                <w:sz w:val="21"/>
                <w:szCs w:val="21"/>
              </w:rPr>
            </w:pPr>
            <w:r>
              <w:rPr>
                <w:sz w:val="21"/>
                <w:szCs w:val="21"/>
              </w:rPr>
              <w:lastRenderedPageBreak/>
              <w:t>Применение:</w:t>
            </w:r>
          </w:p>
          <w:p w:rsidR="00552F1F" w:rsidRDefault="00552F1F" w:rsidP="008A134A">
            <w:pPr>
              <w:jc w:val="both"/>
              <w:rPr>
                <w:sz w:val="21"/>
                <w:szCs w:val="21"/>
              </w:rPr>
            </w:pPr>
            <w:r>
              <w:rPr>
                <w:sz w:val="21"/>
                <w:szCs w:val="21"/>
              </w:rPr>
              <w:t xml:space="preserve">   - для обработки рук </w:t>
            </w:r>
            <w:proofErr w:type="gramStart"/>
            <w:r>
              <w:rPr>
                <w:sz w:val="21"/>
                <w:szCs w:val="21"/>
              </w:rPr>
              <w:t>хирургов :</w:t>
            </w:r>
            <w:proofErr w:type="gramEnd"/>
            <w:r>
              <w:rPr>
                <w:sz w:val="21"/>
                <w:szCs w:val="21"/>
              </w:rPr>
              <w:t xml:space="preserve"> двукратное нанесение   не более  чем по 5 мл   при времени обработки не более 5 минут;</w:t>
            </w:r>
          </w:p>
          <w:p w:rsidR="00552F1F" w:rsidRDefault="00552F1F" w:rsidP="008A134A">
            <w:pPr>
              <w:jc w:val="both"/>
              <w:rPr>
                <w:sz w:val="21"/>
                <w:szCs w:val="21"/>
              </w:rPr>
            </w:pPr>
            <w:r>
              <w:rPr>
                <w:sz w:val="21"/>
                <w:szCs w:val="21"/>
              </w:rPr>
              <w:t>- для обработки операционного поля,  локтевых сгибов доноров методом протирания двукратно -  при времени  обработки не более 2 минут;</w:t>
            </w:r>
          </w:p>
          <w:p w:rsidR="00552F1F" w:rsidRDefault="00552F1F" w:rsidP="008A134A">
            <w:pPr>
              <w:jc w:val="both"/>
              <w:rPr>
                <w:sz w:val="21"/>
                <w:szCs w:val="21"/>
              </w:rPr>
            </w:pPr>
            <w:r>
              <w:rPr>
                <w:sz w:val="21"/>
                <w:szCs w:val="21"/>
              </w:rPr>
              <w:t>- для обработки инъекционного поля  методом протирания при  времени экспозиции не более 1 минуты;</w:t>
            </w:r>
          </w:p>
          <w:p w:rsidR="00552F1F" w:rsidRDefault="00552F1F" w:rsidP="008A134A">
            <w:pPr>
              <w:jc w:val="both"/>
              <w:rPr>
                <w:sz w:val="21"/>
                <w:szCs w:val="21"/>
              </w:rPr>
            </w:pPr>
            <w:r>
              <w:rPr>
                <w:sz w:val="21"/>
                <w:szCs w:val="21"/>
              </w:rPr>
              <w:t>- для гигиенической обработки рук: не менее 3 мл при времени обработки не более 30 секунд;</w:t>
            </w:r>
          </w:p>
          <w:p w:rsidR="00552F1F" w:rsidRDefault="00552F1F" w:rsidP="008A134A">
            <w:pPr>
              <w:jc w:val="both"/>
              <w:rPr>
                <w:sz w:val="21"/>
                <w:szCs w:val="21"/>
              </w:rPr>
            </w:pPr>
            <w:r>
              <w:rPr>
                <w:sz w:val="21"/>
                <w:szCs w:val="21"/>
              </w:rPr>
              <w:t xml:space="preserve">- для дезинфекции небольших по площади поверхностей методом орошения расход средства составляет не более 50 мл на 1 кв. </w:t>
            </w:r>
            <w:proofErr w:type="gramStart"/>
            <w:r>
              <w:rPr>
                <w:sz w:val="21"/>
                <w:szCs w:val="21"/>
              </w:rPr>
              <w:t>м .</w:t>
            </w:r>
            <w:proofErr w:type="gramEnd"/>
          </w:p>
          <w:p w:rsidR="00552F1F" w:rsidRDefault="00552F1F" w:rsidP="008A134A">
            <w:pPr>
              <w:jc w:val="both"/>
              <w:rPr>
                <w:rFonts w:ascii="Cambria" w:hAnsi="Cambria" w:cs="Cambria"/>
                <w:sz w:val="21"/>
                <w:szCs w:val="21"/>
              </w:rPr>
            </w:pPr>
            <w:r>
              <w:rPr>
                <w:sz w:val="21"/>
                <w:szCs w:val="21"/>
              </w:rPr>
              <w:t xml:space="preserve">Упаковка: Флакон объемом не менее </w:t>
            </w:r>
            <w:r w:rsidRPr="00890C71">
              <w:rPr>
                <w:sz w:val="21"/>
                <w:szCs w:val="21"/>
              </w:rPr>
              <w:t>0.</w:t>
            </w:r>
            <w:r w:rsidR="00335E38">
              <w:rPr>
                <w:sz w:val="21"/>
                <w:szCs w:val="21"/>
              </w:rPr>
              <w:t>7</w:t>
            </w:r>
            <w:r w:rsidRPr="00890C71">
              <w:rPr>
                <w:sz w:val="21"/>
                <w:szCs w:val="21"/>
              </w:rPr>
              <w:t>5</w:t>
            </w:r>
            <w:r>
              <w:rPr>
                <w:sz w:val="21"/>
                <w:szCs w:val="21"/>
              </w:rPr>
              <w:t>литра</w:t>
            </w:r>
            <w:r w:rsidRPr="00890C71">
              <w:rPr>
                <w:sz w:val="21"/>
                <w:szCs w:val="21"/>
              </w:rPr>
              <w:t xml:space="preserve"> </w:t>
            </w:r>
            <w:r>
              <w:rPr>
                <w:sz w:val="21"/>
                <w:szCs w:val="21"/>
                <w:lang w:val="en-US"/>
              </w:rPr>
              <w:t>c</w:t>
            </w:r>
            <w:r w:rsidRPr="00890C71">
              <w:rPr>
                <w:sz w:val="21"/>
                <w:szCs w:val="21"/>
              </w:rPr>
              <w:t xml:space="preserve"> </w:t>
            </w:r>
            <w:r>
              <w:rPr>
                <w:sz w:val="21"/>
                <w:szCs w:val="21"/>
              </w:rPr>
              <w:t xml:space="preserve">насадкой для </w:t>
            </w:r>
            <w:proofErr w:type="spellStart"/>
            <w:r>
              <w:rPr>
                <w:sz w:val="21"/>
                <w:szCs w:val="21"/>
              </w:rPr>
              <w:t>распрыления</w:t>
            </w:r>
            <w:proofErr w:type="spellEnd"/>
            <w:r>
              <w:rPr>
                <w:sz w:val="21"/>
                <w:szCs w:val="21"/>
              </w:rPr>
              <w:t xml:space="preserve"> раствора. </w:t>
            </w:r>
          </w:p>
          <w:p w:rsidR="00552F1F" w:rsidRDefault="00552F1F" w:rsidP="008A134A">
            <w:pPr>
              <w:snapToGrid w:val="0"/>
              <w:jc w:val="both"/>
              <w:rPr>
                <w:sz w:val="20"/>
                <w:szCs w:val="20"/>
              </w:rPr>
            </w:pPr>
            <w:r>
              <w:rPr>
                <w:rFonts w:ascii="Cambria" w:hAnsi="Cambria" w:cs="Cambria"/>
                <w:sz w:val="21"/>
                <w:szCs w:val="21"/>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c>
          <w:tcPr>
            <w:tcW w:w="660"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jc w:val="both"/>
            </w:pPr>
            <w:r>
              <w:rPr>
                <w:sz w:val="20"/>
                <w:szCs w:val="20"/>
              </w:rPr>
              <w:lastRenderedPageBreak/>
              <w:t>флакон</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52F1F" w:rsidRPr="00890C71" w:rsidRDefault="00552F1F" w:rsidP="008A134A">
            <w:pPr>
              <w:snapToGrid w:val="0"/>
              <w:jc w:val="both"/>
              <w:rPr>
                <w:lang w:val="en-US"/>
              </w:rPr>
            </w:pPr>
            <w:r>
              <w:rPr>
                <w:lang w:val="en-US"/>
              </w:rPr>
              <w:t>50</w:t>
            </w:r>
          </w:p>
        </w:tc>
      </w:tr>
      <w:tr w:rsidR="00552F1F" w:rsidRPr="005938EA" w:rsidTr="00552F1F">
        <w:trPr>
          <w:trHeight w:val="716"/>
        </w:trPr>
        <w:tc>
          <w:tcPr>
            <w:tcW w:w="540" w:type="dxa"/>
            <w:tcBorders>
              <w:top w:val="single" w:sz="4" w:space="0" w:color="000000"/>
              <w:left w:val="single" w:sz="4" w:space="0" w:color="000000"/>
              <w:bottom w:val="single" w:sz="4" w:space="0" w:color="000000"/>
            </w:tcBorders>
            <w:shd w:val="clear" w:color="auto" w:fill="auto"/>
            <w:vAlign w:val="center"/>
          </w:tcPr>
          <w:p w:rsidR="00552F1F" w:rsidRPr="005938EA" w:rsidRDefault="00552F1F" w:rsidP="005938EA">
            <w:pPr>
              <w:suppressAutoHyphens/>
              <w:snapToGrid w:val="0"/>
              <w:rPr>
                <w:rFonts w:eastAsia="Calibri"/>
                <w:sz w:val="20"/>
                <w:szCs w:val="20"/>
                <w:lang w:eastAsia="ar-SA"/>
              </w:rPr>
            </w:pPr>
            <w:r w:rsidRPr="005938EA">
              <w:rPr>
                <w:rFonts w:eastAsia="Microsoft YaHei"/>
                <w:sz w:val="20"/>
                <w:szCs w:val="20"/>
                <w:lang w:eastAsia="ar-SA"/>
              </w:rPr>
              <w:t>7</w:t>
            </w:r>
          </w:p>
        </w:tc>
        <w:tc>
          <w:tcPr>
            <w:tcW w:w="1830" w:type="dxa"/>
            <w:tcBorders>
              <w:top w:val="single" w:sz="4" w:space="0" w:color="000000"/>
              <w:left w:val="single" w:sz="4" w:space="0" w:color="000000"/>
              <w:bottom w:val="single" w:sz="4" w:space="0" w:color="000000"/>
            </w:tcBorders>
            <w:shd w:val="clear" w:color="auto" w:fill="auto"/>
            <w:vAlign w:val="center"/>
          </w:tcPr>
          <w:p w:rsidR="00552F1F" w:rsidRDefault="00552F1F" w:rsidP="008A134A">
            <w:pPr>
              <w:snapToGrid w:val="0"/>
              <w:spacing w:line="100" w:lineRule="atLeast"/>
              <w:rPr>
                <w:color w:val="000000"/>
                <w:sz w:val="21"/>
                <w:szCs w:val="21"/>
              </w:rPr>
            </w:pPr>
            <w:proofErr w:type="spellStart"/>
            <w:r>
              <w:rPr>
                <w:color w:val="000000"/>
              </w:rPr>
              <w:t>Хлормисепт</w:t>
            </w:r>
            <w:proofErr w:type="spellEnd"/>
            <w:r>
              <w:rPr>
                <w:color w:val="000000"/>
              </w:rPr>
              <w:t xml:space="preserve"> Люкс </w:t>
            </w:r>
            <w:proofErr w:type="spellStart"/>
            <w:r>
              <w:rPr>
                <w:color w:val="000000"/>
              </w:rPr>
              <w:t>таб</w:t>
            </w:r>
            <w:proofErr w:type="spellEnd"/>
            <w:r>
              <w:rPr>
                <w:color w:val="000000"/>
              </w:rPr>
              <w:t xml:space="preserve"> №300</w:t>
            </w:r>
          </w:p>
        </w:tc>
        <w:tc>
          <w:tcPr>
            <w:tcW w:w="6885"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spacing w:line="100" w:lineRule="atLeast"/>
              <w:jc w:val="both"/>
              <w:rPr>
                <w:color w:val="000000"/>
                <w:sz w:val="21"/>
                <w:szCs w:val="21"/>
              </w:rPr>
            </w:pPr>
            <w:r>
              <w:rPr>
                <w:color w:val="000000"/>
                <w:sz w:val="21"/>
                <w:szCs w:val="21"/>
              </w:rPr>
              <w:t xml:space="preserve">Дезинфицирующее средство представлять собой таблетированную форму на основе </w:t>
            </w:r>
            <w:proofErr w:type="spellStart"/>
            <w:r>
              <w:rPr>
                <w:color w:val="000000"/>
                <w:sz w:val="21"/>
                <w:szCs w:val="21"/>
              </w:rPr>
              <w:t>дихлоризоциануровой</w:t>
            </w:r>
            <w:proofErr w:type="spellEnd"/>
            <w:r>
              <w:rPr>
                <w:color w:val="000000"/>
                <w:sz w:val="21"/>
                <w:szCs w:val="21"/>
              </w:rPr>
              <w:t xml:space="preserve"> кислоты с добавлением ПАВ, не должно содержать адипиновую кислоту.  При растворении 1 таблетки в воде должно выделяться  не менее 0,7 г активного хлора. Срок годности рабочих растворов не менее 5 суток. Средство должно обладать антимикробной активностью в отношении бактерий (включая микобактерии туберкулеза (тестировано на </w:t>
            </w:r>
            <w:proofErr w:type="spellStart"/>
            <w:r>
              <w:rPr>
                <w:color w:val="000000"/>
                <w:sz w:val="21"/>
                <w:szCs w:val="21"/>
              </w:rPr>
              <w:t>M.terrae</w:t>
            </w:r>
            <w:proofErr w:type="spellEnd"/>
            <w:r>
              <w:rPr>
                <w:color w:val="000000"/>
                <w:sz w:val="21"/>
                <w:szCs w:val="21"/>
              </w:rPr>
              <w:t>), внутрибольничных, анаэробных  инфекций, чумы, холеры, туляремии), вирусов (</w:t>
            </w:r>
            <w:proofErr w:type="spellStart"/>
            <w:r>
              <w:rPr>
                <w:color w:val="000000"/>
                <w:sz w:val="21"/>
                <w:szCs w:val="21"/>
              </w:rPr>
              <w:t>Коксаки</w:t>
            </w:r>
            <w:proofErr w:type="spellEnd"/>
            <w:r>
              <w:rPr>
                <w:color w:val="000000"/>
                <w:sz w:val="21"/>
                <w:szCs w:val="21"/>
              </w:rPr>
              <w:t xml:space="preserve">, ЕСНО, полиомиелита, ротавирусов, энтеровирусов, гепатитов А, В, С, ВИЧ, ОРВИ, гриппа в т.ч. H5N1, H1N1, «атипичной» пневмонии, парагриппа, герпеса, аденовирусов), грибов рода Кандида, Трихофитон, плесневых грибов,  спор бактерий (возбудитель сибирской язвы); возбудителей паразитарных болезней (цистами и </w:t>
            </w:r>
            <w:proofErr w:type="spellStart"/>
            <w:r>
              <w:rPr>
                <w:color w:val="000000"/>
                <w:sz w:val="21"/>
                <w:szCs w:val="21"/>
              </w:rPr>
              <w:t>ооцистами</w:t>
            </w:r>
            <w:proofErr w:type="spellEnd"/>
            <w:r>
              <w:rPr>
                <w:color w:val="000000"/>
                <w:sz w:val="21"/>
                <w:szCs w:val="21"/>
              </w:rPr>
              <w:t xml:space="preserve"> простейших, яйцами, </w:t>
            </w:r>
            <w:proofErr w:type="spellStart"/>
            <w:r>
              <w:rPr>
                <w:color w:val="000000"/>
                <w:sz w:val="21"/>
                <w:szCs w:val="21"/>
              </w:rPr>
              <w:t>онкосферами</w:t>
            </w:r>
            <w:proofErr w:type="spellEnd"/>
            <w:r>
              <w:rPr>
                <w:color w:val="000000"/>
                <w:sz w:val="21"/>
                <w:szCs w:val="21"/>
              </w:rPr>
              <w:t xml:space="preserve"> и личинками гельминтов, включая острицы). Средство должно обладать моющими свойствами и отбеливающим эффектом. Приготовление рабочих растворов не должно требовать активатора. Средство должно эффективно обеззараживать биологические выделения и биологические жидкости (мочу, кровь и другие), в том числе при особо опасных инфекциях; должно обеззараживать медицинские отходы, перевязочные средства при инфекциях различной этиологии, вкл. туберкулез. Для дезинфекции поверхностей в отношении бактерий (кроме микобактерий туберкулеза), вирусов рабочие растворы должны применяться в концентрации по активному хлору не более 0,0075% с экспозицией не более 60 мин,  для дезинфекции посуды в отношении бактерий не более 15мин. </w:t>
            </w:r>
          </w:p>
          <w:p w:rsidR="00552F1F" w:rsidRDefault="00552F1F" w:rsidP="008A134A">
            <w:pPr>
              <w:snapToGrid w:val="0"/>
              <w:spacing w:line="100" w:lineRule="atLeast"/>
              <w:jc w:val="both"/>
              <w:rPr>
                <w:rFonts w:ascii="Cambria" w:hAnsi="Cambria" w:cs="Cambria"/>
                <w:sz w:val="21"/>
                <w:szCs w:val="21"/>
              </w:rPr>
            </w:pPr>
            <w:r>
              <w:rPr>
                <w:color w:val="000000"/>
                <w:sz w:val="21"/>
                <w:szCs w:val="21"/>
              </w:rPr>
              <w:t>Упаковка. банка не менее 300 табл.</w:t>
            </w:r>
          </w:p>
          <w:p w:rsidR="00552F1F" w:rsidRDefault="00552F1F" w:rsidP="008A134A">
            <w:pPr>
              <w:snapToGrid w:val="0"/>
              <w:spacing w:line="100" w:lineRule="atLeast"/>
              <w:jc w:val="both"/>
              <w:rPr>
                <w:sz w:val="20"/>
                <w:szCs w:val="20"/>
              </w:rPr>
            </w:pPr>
            <w:r>
              <w:rPr>
                <w:rFonts w:ascii="Cambria" w:hAnsi="Cambria" w:cs="Cambria"/>
                <w:sz w:val="21"/>
                <w:szCs w:val="21"/>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tc>
        <w:tc>
          <w:tcPr>
            <w:tcW w:w="660" w:type="dxa"/>
            <w:tcBorders>
              <w:top w:val="single" w:sz="4" w:space="0" w:color="000000"/>
              <w:left w:val="single" w:sz="4" w:space="0" w:color="000000"/>
              <w:bottom w:val="single" w:sz="4" w:space="0" w:color="000000"/>
            </w:tcBorders>
            <w:shd w:val="clear" w:color="auto" w:fill="auto"/>
          </w:tcPr>
          <w:p w:rsidR="00552F1F" w:rsidRDefault="00552F1F" w:rsidP="008A134A">
            <w:pPr>
              <w:snapToGrid w:val="0"/>
              <w:jc w:val="both"/>
            </w:pPr>
            <w:proofErr w:type="spellStart"/>
            <w:r>
              <w:rPr>
                <w:sz w:val="20"/>
                <w:szCs w:val="20"/>
              </w:rPr>
              <w:t>шт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52F1F" w:rsidRDefault="00552F1F" w:rsidP="008A134A">
            <w:pPr>
              <w:snapToGrid w:val="0"/>
              <w:ind w:left="5" w:hanging="5"/>
              <w:jc w:val="both"/>
            </w:pPr>
            <w:r>
              <w:rPr>
                <w:lang w:val="en-US"/>
              </w:rPr>
              <w:t>10</w:t>
            </w:r>
            <w:r>
              <w:t>0</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5938EA">
      <w:footerReference w:type="even" r:id="rId13"/>
      <w:footerReference w:type="default" r:id="rId14"/>
      <w:pgSz w:w="11906" w:h="16838"/>
      <w:pgMar w:top="539" w:right="11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C4" w:rsidRDefault="00DA55C4">
      <w:r>
        <w:separator/>
      </w:r>
    </w:p>
  </w:endnote>
  <w:endnote w:type="continuationSeparator" w:id="0">
    <w:p w:rsidR="00DA55C4" w:rsidRDefault="00D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7E77">
      <w:rPr>
        <w:rStyle w:val="ab"/>
        <w:noProof/>
      </w:rPr>
      <w:t>2</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C4" w:rsidRDefault="00DA55C4">
      <w:r>
        <w:separator/>
      </w:r>
    </w:p>
  </w:footnote>
  <w:footnote w:type="continuationSeparator" w:id="0">
    <w:p w:rsidR="00DA55C4" w:rsidRDefault="00D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7B31"/>
    <w:rsid w:val="00290651"/>
    <w:rsid w:val="00292C42"/>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2AF7"/>
    <w:rsid w:val="003356F6"/>
    <w:rsid w:val="00335E38"/>
    <w:rsid w:val="003411F3"/>
    <w:rsid w:val="00342033"/>
    <w:rsid w:val="0034210A"/>
    <w:rsid w:val="00346E87"/>
    <w:rsid w:val="00381530"/>
    <w:rsid w:val="00383883"/>
    <w:rsid w:val="0038757F"/>
    <w:rsid w:val="003902E8"/>
    <w:rsid w:val="00396F17"/>
    <w:rsid w:val="003A20E7"/>
    <w:rsid w:val="003A223D"/>
    <w:rsid w:val="003A69DD"/>
    <w:rsid w:val="003A6EBD"/>
    <w:rsid w:val="003C70F0"/>
    <w:rsid w:val="003E20E3"/>
    <w:rsid w:val="003F4FF0"/>
    <w:rsid w:val="003F682D"/>
    <w:rsid w:val="00405C57"/>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0942"/>
    <w:rsid w:val="005030CB"/>
    <w:rsid w:val="005032AE"/>
    <w:rsid w:val="00510BC3"/>
    <w:rsid w:val="00537B97"/>
    <w:rsid w:val="00542CCD"/>
    <w:rsid w:val="00552F1F"/>
    <w:rsid w:val="00566578"/>
    <w:rsid w:val="00572FE8"/>
    <w:rsid w:val="00575973"/>
    <w:rsid w:val="00577AAD"/>
    <w:rsid w:val="005938EA"/>
    <w:rsid w:val="00594DF8"/>
    <w:rsid w:val="005A2AAF"/>
    <w:rsid w:val="005B3C46"/>
    <w:rsid w:val="005B552D"/>
    <w:rsid w:val="005D2844"/>
    <w:rsid w:val="005D4B2C"/>
    <w:rsid w:val="005E098C"/>
    <w:rsid w:val="005E12A3"/>
    <w:rsid w:val="005E148A"/>
    <w:rsid w:val="005E46A2"/>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97E77"/>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4006E"/>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17A13"/>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5340"/>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876A8"/>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2CF1"/>
    <w:rsid w:val="00BA3963"/>
    <w:rsid w:val="00BA42B3"/>
    <w:rsid w:val="00BA550A"/>
    <w:rsid w:val="00BA58C9"/>
    <w:rsid w:val="00BA73C6"/>
    <w:rsid w:val="00BB13C2"/>
    <w:rsid w:val="00BB7B64"/>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5DAD"/>
    <w:rsid w:val="00D6279D"/>
    <w:rsid w:val="00D74CAC"/>
    <w:rsid w:val="00D7628E"/>
    <w:rsid w:val="00D90C00"/>
    <w:rsid w:val="00D918DD"/>
    <w:rsid w:val="00D91CDD"/>
    <w:rsid w:val="00DA53DE"/>
    <w:rsid w:val="00DA55C4"/>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9689D"/>
    <w:rsid w:val="00EA6F0E"/>
    <w:rsid w:val="00EB1E46"/>
    <w:rsid w:val="00EB4EE8"/>
    <w:rsid w:val="00EC3923"/>
    <w:rsid w:val="00EC53CD"/>
    <w:rsid w:val="00EC5422"/>
    <w:rsid w:val="00EC61BE"/>
    <w:rsid w:val="00EC6C99"/>
    <w:rsid w:val="00ED0F78"/>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2C791"/>
  <w15:docId w15:val="{91A906A4-58F1-43E4-9BD9-2EA3E003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Style4">
    <w:name w:val="Style4"/>
    <w:basedOn w:val="Standard"/>
    <w:rsid w:val="0074006E"/>
    <w:pPr>
      <w:widowControl w:val="0"/>
      <w:autoSpaceDE w:val="0"/>
      <w:spacing w:line="205" w:lineRule="exact"/>
    </w:pPr>
    <w:rPr>
      <w:rFonts w:ascii="Calibri" w:eastAsia="Times New Roman" w:hAnsi="Calibri"/>
      <w:color w:val="000000"/>
      <w:lang w:eastAsia="zh-CN" w:bidi="hi-IN"/>
    </w:rPr>
  </w:style>
  <w:style w:type="paragraph" w:customStyle="1" w:styleId="15">
    <w:name w:val="Текст1"/>
    <w:basedOn w:val="a"/>
    <w:rsid w:val="00552F1F"/>
    <w:rPr>
      <w:rFonts w:ascii="Courier New"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E6FD-F739-42C3-A4D4-47B02634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11</cp:revision>
  <cp:lastPrinted>2019-12-12T05:46:00Z</cp:lastPrinted>
  <dcterms:created xsi:type="dcterms:W3CDTF">2020-12-11T11:50:00Z</dcterms:created>
  <dcterms:modified xsi:type="dcterms:W3CDTF">2020-12-14T05:11:00Z</dcterms:modified>
</cp:coreProperties>
</file>