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F35F32">
        <w:t>2214040200</w:t>
      </w:r>
      <w:r w:rsidR="003E41BE">
        <w:t>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3E41BE">
        <w:t xml:space="preserve"> (</w:t>
      </w:r>
      <w:proofErr w:type="spellStart"/>
      <w:r w:rsidR="003E41BE">
        <w:t>Эфлейра</w:t>
      </w:r>
      <w:proofErr w:type="spellEnd"/>
      <w:r w:rsidR="003E41BE">
        <w:t>)</w:t>
      </w:r>
      <w:r w:rsidR="00E92118" w:rsidRPr="00C94509">
        <w:t>,</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4215F0" w:rsidRDefault="00883C56" w:rsidP="00883C56">
      <w:pPr>
        <w:ind w:firstLine="709"/>
        <w:contextualSpacing/>
        <w:jc w:val="both"/>
        <w:rPr>
          <w:lang w:val="en-US"/>
        </w:rPr>
      </w:pPr>
      <w:r w:rsidRPr="00883C56">
        <w:rPr>
          <w:lang w:val="en-US"/>
        </w:rPr>
        <w:t>E</w:t>
      </w:r>
      <w:r w:rsidRPr="004215F0">
        <w:rPr>
          <w:lang w:val="en-US"/>
        </w:rPr>
        <w:t>-</w:t>
      </w:r>
      <w:r w:rsidRPr="00883C56">
        <w:rPr>
          <w:lang w:val="en-US"/>
        </w:rPr>
        <w:t>mail</w:t>
      </w:r>
      <w:r w:rsidRPr="004215F0">
        <w:rPr>
          <w:lang w:val="en-US"/>
        </w:rPr>
        <w:t>:</w:t>
      </w:r>
      <w:r w:rsidRPr="004215F0">
        <w:rPr>
          <w:bCs/>
          <w:lang w:val="en-US"/>
        </w:rPr>
        <w:t xml:space="preserve"> </w:t>
      </w:r>
      <w:hyperlink r:id="rId9" w:history="1">
        <w:r w:rsidRPr="00883C56">
          <w:rPr>
            <w:color w:val="000000"/>
            <w:kern w:val="1"/>
            <w:lang w:val="en-US"/>
          </w:rPr>
          <w:t>nvsb</w:t>
        </w:r>
        <w:r w:rsidRPr="004215F0">
          <w:rPr>
            <w:color w:val="000000"/>
            <w:kern w:val="1"/>
            <w:lang w:val="en-US"/>
          </w:rPr>
          <w:t>5@</w:t>
        </w:r>
        <w:r w:rsidRPr="00883C56">
          <w:rPr>
            <w:color w:val="000000"/>
            <w:kern w:val="1"/>
            <w:lang w:val="en-US"/>
          </w:rPr>
          <w:t>mail</w:t>
        </w:r>
        <w:r w:rsidRPr="004215F0">
          <w:rPr>
            <w:color w:val="000000"/>
            <w:kern w:val="1"/>
            <w:lang w:val="en-US"/>
          </w:rPr>
          <w:t>.</w:t>
        </w:r>
        <w:r w:rsidRPr="00883C56">
          <w:rPr>
            <w:color w:val="000000"/>
            <w:kern w:val="1"/>
            <w:lang w:val="en-US"/>
          </w:rPr>
          <w:t>ru</w:t>
        </w:r>
      </w:hyperlink>
      <w:r w:rsidRPr="004215F0">
        <w:rPr>
          <w:bCs/>
          <w:lang w:val="en-US"/>
        </w:rPr>
        <w:t xml:space="preserve">, </w:t>
      </w:r>
      <w:r w:rsidRPr="00883C56">
        <w:t>тел</w:t>
      </w:r>
      <w:r w:rsidRPr="004215F0">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F35F32" w:rsidRPr="00F35F32" w:rsidRDefault="00883C56" w:rsidP="00F35F32">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3E41BE">
        <w:rPr>
          <w:rFonts w:eastAsiaTheme="minorEastAsia"/>
          <w:b/>
          <w:bCs/>
        </w:rPr>
        <w:t>440 000</w:t>
      </w:r>
      <w:r w:rsidR="00F35F32" w:rsidRPr="00F35F32">
        <w:rPr>
          <w:rFonts w:eastAsiaTheme="minorEastAsia"/>
          <w:b/>
          <w:bCs/>
        </w:rPr>
        <w:t xml:space="preserve"> рублей (</w:t>
      </w:r>
      <w:r w:rsidR="003E41BE">
        <w:rPr>
          <w:rFonts w:eastAsiaTheme="minorEastAsia"/>
          <w:b/>
          <w:bCs/>
        </w:rPr>
        <w:t>Четыреста сорок</w:t>
      </w:r>
      <w:r w:rsidR="00F35F32" w:rsidRPr="00F35F32">
        <w:rPr>
          <w:rFonts w:eastAsiaTheme="minorEastAsia"/>
          <w:b/>
          <w:bCs/>
        </w:rPr>
        <w:t xml:space="preserve"> тыся</w:t>
      </w:r>
      <w:r w:rsidR="003E41BE">
        <w:rPr>
          <w:rFonts w:eastAsiaTheme="minorEastAsia"/>
          <w:b/>
          <w:bCs/>
        </w:rPr>
        <w:t>ч</w:t>
      </w:r>
      <w:r w:rsidR="00F35F32" w:rsidRPr="00F35F32">
        <w:rPr>
          <w:rFonts w:eastAsiaTheme="minorEastAsia"/>
          <w:b/>
          <w:bCs/>
        </w:rPr>
        <w:t xml:space="preserve">) рублей 00 копеек </w:t>
      </w:r>
      <w:r w:rsidR="00F35F32" w:rsidRPr="00F35F32">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3E41BE">
        <w:rPr>
          <w:b/>
          <w:bCs/>
          <w:lang w:eastAsia="x-none"/>
        </w:rPr>
        <w:t>19</w:t>
      </w:r>
      <w:r w:rsidRPr="006B404B">
        <w:rPr>
          <w:b/>
          <w:bCs/>
          <w:lang w:val="x-none" w:eastAsia="x-none"/>
        </w:rPr>
        <w:t>.</w:t>
      </w:r>
      <w:r w:rsidR="00F35F32">
        <w:rPr>
          <w:b/>
          <w:bCs/>
          <w:lang w:eastAsia="x-none"/>
        </w:rPr>
        <w:t>0</w:t>
      </w:r>
      <w:r w:rsidR="003E41BE">
        <w:rPr>
          <w:b/>
          <w:bCs/>
          <w:lang w:eastAsia="x-none"/>
        </w:rPr>
        <w:t>9</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3E41BE">
        <w:rPr>
          <w:b/>
          <w:bCs/>
          <w:lang w:eastAsia="x-none"/>
        </w:rPr>
        <w:t>23</w:t>
      </w:r>
      <w:r w:rsidRPr="006B404B">
        <w:rPr>
          <w:b/>
          <w:bCs/>
          <w:lang w:val="x-none" w:eastAsia="x-none"/>
        </w:rPr>
        <w:t>.</w:t>
      </w:r>
      <w:r w:rsidR="00F35F32">
        <w:rPr>
          <w:b/>
          <w:bCs/>
          <w:lang w:eastAsia="x-none"/>
        </w:rPr>
        <w:t>0</w:t>
      </w:r>
      <w:r w:rsidR="003E41BE">
        <w:rPr>
          <w:b/>
          <w:bCs/>
          <w:lang w:eastAsia="x-none"/>
        </w:rPr>
        <w:t>9</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3E41BE">
        <w:rPr>
          <w:b/>
          <w:bCs/>
          <w:lang w:eastAsia="x-none"/>
        </w:rPr>
        <w:t>26</w:t>
      </w:r>
      <w:r w:rsidRPr="006B404B">
        <w:rPr>
          <w:b/>
          <w:bCs/>
          <w:lang w:val="x-none" w:eastAsia="x-none"/>
        </w:rPr>
        <w:t>.</w:t>
      </w:r>
      <w:r w:rsidR="00F35F32">
        <w:rPr>
          <w:b/>
          <w:bCs/>
          <w:lang w:eastAsia="x-none"/>
        </w:rPr>
        <w:t>0</w:t>
      </w:r>
      <w:r w:rsidR="003E41BE">
        <w:rPr>
          <w:b/>
          <w:bCs/>
          <w:lang w:eastAsia="x-none"/>
        </w:rPr>
        <w:t>9</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3E41BE">
        <w:rPr>
          <w:b/>
          <w:bCs/>
          <w:lang w:eastAsia="x-none"/>
        </w:rPr>
        <w:t>26</w:t>
      </w:r>
      <w:r w:rsidRPr="006B404B">
        <w:rPr>
          <w:b/>
          <w:bCs/>
          <w:lang w:val="x-none" w:eastAsia="x-none"/>
        </w:rPr>
        <w:t>.</w:t>
      </w:r>
      <w:r w:rsidR="00F35F32">
        <w:rPr>
          <w:b/>
          <w:bCs/>
          <w:lang w:eastAsia="x-none"/>
        </w:rPr>
        <w:t>0</w:t>
      </w:r>
      <w:r w:rsidR="003E41BE">
        <w:rPr>
          <w:b/>
          <w:bCs/>
          <w:lang w:eastAsia="x-none"/>
        </w:rPr>
        <w:t>9</w:t>
      </w:r>
      <w:r w:rsidRPr="006B404B">
        <w:rPr>
          <w:b/>
          <w:bCs/>
          <w:lang w:val="x-none" w:eastAsia="x-none"/>
        </w:rPr>
        <w:t>.202</w:t>
      </w:r>
      <w:r w:rsidR="00F35F32">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3E41BE">
        <w:rPr>
          <w:b/>
          <w:bCs/>
          <w:lang w:eastAsia="x-none"/>
        </w:rPr>
        <w:t>26</w:t>
      </w:r>
      <w:r w:rsidRPr="006B404B">
        <w:rPr>
          <w:b/>
          <w:bCs/>
          <w:lang w:val="x-none" w:eastAsia="x-none"/>
        </w:rPr>
        <w:t>.</w:t>
      </w:r>
      <w:r w:rsidR="00F35F32">
        <w:rPr>
          <w:b/>
          <w:bCs/>
          <w:lang w:eastAsia="x-none"/>
        </w:rPr>
        <w:t>0</w:t>
      </w:r>
      <w:r w:rsidR="003E41BE">
        <w:rPr>
          <w:b/>
          <w:bCs/>
          <w:lang w:eastAsia="x-none"/>
        </w:rPr>
        <w:t>9</w:t>
      </w:r>
      <w:r w:rsidRPr="006B404B">
        <w:rPr>
          <w:b/>
          <w:bCs/>
          <w:lang w:val="x-none" w:eastAsia="x-none"/>
        </w:rPr>
        <w:t>.202</w:t>
      </w:r>
      <w:r w:rsidR="00F35F32">
        <w:rPr>
          <w:b/>
          <w:bCs/>
          <w:lang w:eastAsia="x-none"/>
        </w:rPr>
        <w:t>2</w:t>
      </w:r>
      <w:r w:rsidRPr="006B404B">
        <w:rPr>
          <w:b/>
          <w:bCs/>
          <w:lang w:val="x-none" w:eastAsia="x-none"/>
        </w:rPr>
        <w:t xml:space="preserve">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BE3515" w:rsidRDefault="003D44D1" w:rsidP="003D44D1">
      <w:r>
        <w:rPr>
          <w:color w:val="000000"/>
          <w:lang w:val="en-US" w:eastAsia="ar-SA"/>
        </w:rPr>
        <w:t>E</w:t>
      </w:r>
      <w:r w:rsidRPr="00BE3515">
        <w:rPr>
          <w:color w:val="000000"/>
          <w:lang w:eastAsia="ar-SA"/>
        </w:rPr>
        <w:t>-</w:t>
      </w:r>
      <w:r>
        <w:rPr>
          <w:color w:val="000000"/>
          <w:lang w:val="en-US" w:eastAsia="ar-SA"/>
        </w:rPr>
        <w:t>mail</w:t>
      </w:r>
      <w:r w:rsidRPr="00BE3515">
        <w:rPr>
          <w:color w:val="000000"/>
          <w:lang w:eastAsia="ar-SA"/>
        </w:rPr>
        <w:t xml:space="preserve">: </w:t>
      </w:r>
      <w:proofErr w:type="spellStart"/>
      <w:r>
        <w:rPr>
          <w:color w:val="000000"/>
          <w:lang w:val="en-US" w:eastAsia="ar-SA"/>
        </w:rPr>
        <w:t>ob</w:t>
      </w:r>
      <w:proofErr w:type="spellEnd"/>
      <w:r w:rsidRPr="00BE3515">
        <w:rPr>
          <w:color w:val="000000"/>
          <w:lang w:eastAsia="ar-SA"/>
        </w:rPr>
        <w:t>_</w:t>
      </w:r>
      <w:r>
        <w:rPr>
          <w:color w:val="000000"/>
          <w:lang w:val="en-US" w:eastAsia="ar-SA"/>
        </w:rPr>
        <w:t>ul</w:t>
      </w:r>
      <w:r w:rsidRPr="00BE3515">
        <w:rPr>
          <w:color w:val="000000"/>
          <w:lang w:eastAsia="ar-SA"/>
        </w:rPr>
        <w:t>_</w:t>
      </w:r>
      <w:proofErr w:type="spellStart"/>
      <w:r>
        <w:rPr>
          <w:color w:val="000000"/>
          <w:lang w:val="en-US" w:eastAsia="ar-SA"/>
        </w:rPr>
        <w:t>zakupki</w:t>
      </w:r>
      <w:proofErr w:type="spellEnd"/>
      <w:r w:rsidRPr="00BE3515">
        <w:rPr>
          <w:color w:val="000000"/>
          <w:lang w:eastAsia="ar-SA"/>
        </w:rPr>
        <w:t>@</w:t>
      </w:r>
      <w:r>
        <w:rPr>
          <w:color w:val="000000"/>
          <w:lang w:val="en-US" w:eastAsia="ar-SA"/>
        </w:rPr>
        <w:t>mail</w:t>
      </w:r>
      <w:r w:rsidRPr="00BE351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3E41BE" w:rsidTr="001A6194">
        <w:tc>
          <w:tcPr>
            <w:tcW w:w="988" w:type="dxa"/>
          </w:tcPr>
          <w:p w:rsidR="003E41BE" w:rsidRPr="00D66AF5" w:rsidRDefault="003E41BE" w:rsidP="003E41BE">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3E41BE" w:rsidRDefault="003E41BE" w:rsidP="003E41BE">
            <w:proofErr w:type="spellStart"/>
            <w:r>
              <w:t>Нетакимаб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E41BE" w:rsidRDefault="003E41BE" w:rsidP="003E41BE">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3E41BE" w:rsidRDefault="003E41BE" w:rsidP="003E41BE">
            <w:pPr>
              <w:jc w:val="center"/>
              <w:rPr>
                <w:b/>
                <w:bCs/>
                <w:sz w:val="22"/>
                <w:szCs w:val="22"/>
              </w:rPr>
            </w:pPr>
            <w:r>
              <w:rPr>
                <w:b/>
                <w:bCs/>
                <w:sz w:val="22"/>
                <w:szCs w:val="22"/>
              </w:rPr>
              <w:t>20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E41BE" w:rsidRDefault="003E41BE" w:rsidP="003E41BE">
            <w:pPr>
              <w:jc w:val="center"/>
            </w:pPr>
            <w:r>
              <w:t>22000,00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E41BE" w:rsidRDefault="003E41BE" w:rsidP="003E41BE">
            <w:pPr>
              <w:jc w:val="center"/>
            </w:pPr>
            <w:r>
              <w:t>440 000,00</w:t>
            </w:r>
          </w:p>
        </w:tc>
      </w:tr>
      <w:tr w:rsidR="003E41BE" w:rsidTr="00CB4DC5">
        <w:tc>
          <w:tcPr>
            <w:tcW w:w="988" w:type="dxa"/>
          </w:tcPr>
          <w:p w:rsidR="003E41BE" w:rsidRPr="00D66AF5" w:rsidRDefault="003E41BE" w:rsidP="003E41BE">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3E41BE" w:rsidRDefault="003E41BE" w:rsidP="003E41BE">
            <w:pPr>
              <w:contextualSpacing/>
              <w:rPr>
                <w:sz w:val="22"/>
                <w:szCs w:val="22"/>
              </w:rPr>
            </w:pPr>
            <w:r w:rsidRPr="00646BCA">
              <w:rPr>
                <w:b/>
                <w:bCs/>
              </w:rPr>
              <w:t>ИТОГО начальная (максимальная) цена</w:t>
            </w:r>
          </w:p>
        </w:tc>
        <w:tc>
          <w:tcPr>
            <w:tcW w:w="2597" w:type="dxa"/>
          </w:tcPr>
          <w:p w:rsidR="003E41BE" w:rsidRPr="006E017A" w:rsidRDefault="003E41BE" w:rsidP="003E41BE">
            <w:pPr>
              <w:contextualSpacing/>
              <w:jc w:val="center"/>
            </w:pPr>
          </w:p>
        </w:tc>
      </w:tr>
      <w:tr w:rsidR="003E41BE" w:rsidTr="00CB4DC5">
        <w:tc>
          <w:tcPr>
            <w:tcW w:w="988" w:type="dxa"/>
          </w:tcPr>
          <w:p w:rsidR="003E41BE" w:rsidRPr="00D66AF5" w:rsidRDefault="003E41BE" w:rsidP="003E41BE">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3E41BE" w:rsidRPr="00646BCA" w:rsidRDefault="003E41BE" w:rsidP="003E41BE">
            <w:pPr>
              <w:rPr>
                <w:b/>
                <w:bCs/>
              </w:rPr>
            </w:pPr>
            <w:r w:rsidRPr="00646BCA">
              <w:rPr>
                <w:b/>
                <w:bCs/>
              </w:rPr>
              <w:t>Порядок формирования начальной</w:t>
            </w:r>
          </w:p>
          <w:p w:rsidR="003E41BE" w:rsidRPr="00646BCA" w:rsidRDefault="003E41BE" w:rsidP="003E41BE">
            <w:r w:rsidRPr="00646BCA">
              <w:rPr>
                <w:b/>
                <w:bCs/>
              </w:rPr>
              <w:t>(максимальной) цены договора</w:t>
            </w:r>
          </w:p>
        </w:tc>
        <w:tc>
          <w:tcPr>
            <w:tcW w:w="10388" w:type="dxa"/>
            <w:gridSpan w:val="4"/>
          </w:tcPr>
          <w:p w:rsidR="003E41BE" w:rsidRDefault="003E41BE" w:rsidP="003E41BE">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3E41BE" w:rsidTr="00E92118">
        <w:tc>
          <w:tcPr>
            <w:tcW w:w="757" w:type="dxa"/>
            <w:shd w:val="clear" w:color="auto" w:fill="auto"/>
            <w:vAlign w:val="center"/>
          </w:tcPr>
          <w:p w:rsidR="003E41BE" w:rsidRPr="004F08CE" w:rsidRDefault="003E41BE" w:rsidP="003E41BE">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3E41BE" w:rsidRDefault="003E41BE" w:rsidP="003E41BE">
            <w:proofErr w:type="spellStart"/>
            <w:r>
              <w:t>Нетакимаб</w:t>
            </w:r>
            <w:proofErr w:type="spellEnd"/>
            <w:r>
              <w:t xml:space="preserve"> (</w:t>
            </w:r>
            <w:proofErr w:type="spellStart"/>
            <w:r>
              <w:t>Эфлейра</w:t>
            </w:r>
            <w:proofErr w:type="spellEnd"/>
            <w:r>
              <w:t>)</w:t>
            </w:r>
            <w:bookmarkStart w:id="5" w:name="_GoBack"/>
            <w:bookmarkEnd w:id="5"/>
          </w:p>
        </w:tc>
        <w:tc>
          <w:tcPr>
            <w:tcW w:w="9922" w:type="dxa"/>
            <w:tcBorders>
              <w:top w:val="single" w:sz="4" w:space="0" w:color="000000"/>
              <w:left w:val="single" w:sz="4" w:space="0" w:color="000000"/>
              <w:bottom w:val="single" w:sz="4" w:space="0" w:color="000000"/>
            </w:tcBorders>
            <w:shd w:val="clear" w:color="auto" w:fill="auto"/>
          </w:tcPr>
          <w:p w:rsidR="003E41BE" w:rsidRDefault="003E41BE" w:rsidP="003E41BE">
            <w:pPr>
              <w:suppressAutoHyphens/>
              <w:snapToGrid w:val="0"/>
              <w:spacing w:after="140" w:line="276" w:lineRule="auto"/>
              <w:ind w:left="5" w:hanging="5"/>
              <w:jc w:val="both"/>
              <w:rPr>
                <w:rFonts w:eastAsia="SimSun"/>
                <w:kern w:val="1"/>
                <w:sz w:val="21"/>
                <w:szCs w:val="21"/>
                <w:lang w:eastAsia="hi-IN" w:bidi="hi-IN"/>
              </w:rPr>
            </w:pPr>
            <w:r w:rsidRPr="00B6241A">
              <w:rPr>
                <w:rFonts w:eastAsia="SimSun"/>
                <w:kern w:val="1"/>
                <w:sz w:val="21"/>
                <w:szCs w:val="21"/>
                <w:lang w:eastAsia="hi-IN" w:bidi="hi-IN"/>
              </w:rPr>
              <w:t xml:space="preserve">Раствор для подкожного введения, </w:t>
            </w:r>
            <w:r>
              <w:rPr>
                <w:rFonts w:eastAsia="SimSun"/>
                <w:kern w:val="1"/>
                <w:sz w:val="21"/>
                <w:szCs w:val="21"/>
                <w:lang w:eastAsia="hi-IN" w:bidi="hi-IN"/>
              </w:rPr>
              <w:t>6</w:t>
            </w:r>
            <w:r w:rsidRPr="00B6241A">
              <w:rPr>
                <w:rFonts w:eastAsia="SimSun"/>
                <w:kern w:val="1"/>
                <w:sz w:val="21"/>
                <w:szCs w:val="21"/>
                <w:lang w:eastAsia="hi-IN" w:bidi="hi-IN"/>
              </w:rPr>
              <w:t xml:space="preserve">0 мг/мл, </w:t>
            </w:r>
            <w:r>
              <w:rPr>
                <w:rFonts w:eastAsia="SimSun"/>
                <w:kern w:val="1"/>
                <w:sz w:val="21"/>
                <w:szCs w:val="21"/>
                <w:lang w:eastAsia="hi-IN" w:bidi="hi-IN"/>
              </w:rPr>
              <w:t>1</w:t>
            </w:r>
            <w:r w:rsidRPr="00B6241A">
              <w:rPr>
                <w:rFonts w:eastAsia="SimSun"/>
                <w:kern w:val="1"/>
                <w:sz w:val="21"/>
                <w:szCs w:val="21"/>
                <w:lang w:eastAsia="hi-IN" w:bidi="hi-IN"/>
              </w:rPr>
              <w:t xml:space="preserve">мл-шприцы </w:t>
            </w:r>
            <w:r>
              <w:rPr>
                <w:rFonts w:eastAsia="SimSun"/>
                <w:kern w:val="1"/>
                <w:sz w:val="21"/>
                <w:szCs w:val="21"/>
                <w:lang w:eastAsia="hi-IN" w:bidi="hi-IN"/>
              </w:rPr>
              <w:t xml:space="preserve">в </w:t>
            </w:r>
            <w:proofErr w:type="spellStart"/>
            <w:r>
              <w:rPr>
                <w:rFonts w:eastAsia="SimSun"/>
                <w:kern w:val="1"/>
                <w:sz w:val="21"/>
                <w:szCs w:val="21"/>
                <w:lang w:eastAsia="hi-IN" w:bidi="hi-IN"/>
              </w:rPr>
              <w:t>автоинжекторах</w:t>
            </w:r>
            <w:proofErr w:type="spellEnd"/>
            <w:r>
              <w:rPr>
                <w:rFonts w:eastAsia="SimSun"/>
                <w:kern w:val="1"/>
                <w:sz w:val="21"/>
                <w:szCs w:val="21"/>
                <w:lang w:eastAsia="hi-IN" w:bidi="hi-IN"/>
              </w:rPr>
              <w:t xml:space="preserve"> (2)</w:t>
            </w:r>
            <w:r w:rsidRPr="00B6241A">
              <w:rPr>
                <w:rFonts w:eastAsia="SimSun"/>
                <w:kern w:val="1"/>
                <w:sz w:val="21"/>
                <w:szCs w:val="21"/>
                <w:lang w:eastAsia="hi-IN" w:bidi="hi-IN"/>
              </w:rPr>
              <w:t xml:space="preserve"> в комплекте с салфетками спиртовыми- 2 шт.</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95C" w:rsidRDefault="00BD095C">
      <w:r>
        <w:separator/>
      </w:r>
    </w:p>
  </w:endnote>
  <w:endnote w:type="continuationSeparator" w:id="0">
    <w:p w:rsidR="00BD095C" w:rsidRDefault="00BD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75044" w:rsidRDefault="000750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4" w:rsidRDefault="0007504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075044" w:rsidRDefault="000750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95C" w:rsidRDefault="00BD095C">
      <w:r>
        <w:separator/>
      </w:r>
    </w:p>
  </w:footnote>
  <w:footnote w:type="continuationSeparator" w:id="0">
    <w:p w:rsidR="00BD095C" w:rsidRDefault="00BD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E41BE"/>
    <w:rsid w:val="003F18F9"/>
    <w:rsid w:val="003F682D"/>
    <w:rsid w:val="00405C57"/>
    <w:rsid w:val="00405F3D"/>
    <w:rsid w:val="00416F23"/>
    <w:rsid w:val="00420EDC"/>
    <w:rsid w:val="004215F0"/>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D095C"/>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9D219"/>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13A66"/>
    <w:rsid w:val="000C7BB3"/>
    <w:rsid w:val="0013602A"/>
    <w:rsid w:val="00167341"/>
    <w:rsid w:val="001A7E53"/>
    <w:rsid w:val="00236987"/>
    <w:rsid w:val="002A63B7"/>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C2D3A"/>
    <w:rsid w:val="00A605B2"/>
    <w:rsid w:val="00BE64B6"/>
    <w:rsid w:val="00C758AD"/>
    <w:rsid w:val="00D867C5"/>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1E51E-5B9A-4978-A925-E4338D7B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10646</Words>
  <Characters>60687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71191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2021-07-26T12:11:00Z</cp:lastPrinted>
  <dcterms:created xsi:type="dcterms:W3CDTF">2022-09-20T09:46:00Z</dcterms:created>
  <dcterms:modified xsi:type="dcterms:W3CDTF">2022-09-20T09:51:00Z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