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97517">
        <w:t>2214040101</w:t>
      </w:r>
      <w:r w:rsidR="00AE3B11">
        <w:t>2</w:t>
      </w:r>
    </w:p>
    <w:p w:rsidR="00F4763C" w:rsidRPr="00A62A01" w:rsidRDefault="007F67BF" w:rsidP="00F4763C">
      <w:pPr>
        <w:jc w:val="center"/>
        <w:rPr>
          <w:b/>
        </w:rPr>
      </w:pPr>
      <w:r w:rsidRPr="00883C56">
        <w:t xml:space="preserve">на </w:t>
      </w:r>
      <w:r w:rsidR="00883C56" w:rsidRPr="00883C56">
        <w:t>поставку</w:t>
      </w:r>
      <w:r w:rsidR="00FC59C7">
        <w:t xml:space="preserve"> </w:t>
      </w:r>
      <w:bookmarkStart w:id="0" w:name="_Hlk120864683"/>
      <w:r w:rsidR="00AE3B11">
        <w:t>аппарата для ультразвуковой терапии</w:t>
      </w:r>
      <w:r w:rsidR="00FC59C7" w:rsidRPr="00A62A01">
        <w:t xml:space="preserve"> </w:t>
      </w:r>
      <w:bookmarkEnd w:id="0"/>
      <w:r w:rsidR="00F4763C" w:rsidRPr="00A62A01">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F4763C">
      <w:pPr>
        <w:ind w:firstLine="709"/>
        <w:contextualSpacing/>
      </w:pPr>
      <w:r w:rsidRPr="00883C56">
        <w:rPr>
          <w:color w:val="000000"/>
        </w:rPr>
        <w:t>Юридический адрес: 432012, г. Ульяновск, ул. Хрустальная, д.3.</w:t>
      </w:r>
    </w:p>
    <w:p w:rsidR="00883C56" w:rsidRPr="00D50FE5" w:rsidRDefault="00883C56" w:rsidP="00F4763C">
      <w:pPr>
        <w:ind w:firstLine="709"/>
        <w:contextualSpacing/>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r w:rsidRPr="00883C56">
          <w:rPr>
            <w:color w:val="000000"/>
            <w:kern w:val="1"/>
            <w:lang w:val="en-US"/>
          </w:rPr>
          <w:t>ru</w:t>
        </w:r>
      </w:hyperlink>
      <w:r w:rsidRPr="00D50FE5">
        <w:rPr>
          <w:bCs/>
        </w:rPr>
        <w:t xml:space="preserve">, </w:t>
      </w:r>
      <w:r w:rsidRPr="00883C56">
        <w:t>тел</w:t>
      </w:r>
      <w:r w:rsidRPr="00D50FE5">
        <w:t>: (8422) 36-43-04</w:t>
      </w:r>
    </w:p>
    <w:p w:rsidR="00883C56" w:rsidRPr="00883C56" w:rsidRDefault="00883C56" w:rsidP="00F4763C">
      <w:pPr>
        <w:ind w:firstLine="709"/>
        <w:contextualSpacing/>
      </w:pPr>
      <w:r w:rsidRPr="00883C56">
        <w:t>Контактное лицо:  главный врач Агафонова И. Н., тел:(8422) 36-43-04;</w:t>
      </w:r>
    </w:p>
    <w:p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rsidR="00883C56" w:rsidRPr="00883C56" w:rsidRDefault="00883C56" w:rsidP="00F4763C">
      <w:pPr>
        <w:ind w:firstLine="709"/>
        <w:contextualSpacing/>
        <w:jc w:val="both"/>
      </w:pPr>
      <w:r w:rsidRPr="00883C56">
        <w:t>Способ запроса: запрос котировок в бумажной форме или по электронной почте</w:t>
      </w:r>
    </w:p>
    <w:p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r w:rsidR="00AE3B11">
        <w:t>аппарата для ультразвуковой терапии</w:t>
      </w:r>
      <w:r w:rsidR="00883C56" w:rsidRPr="00883C56">
        <w:t xml:space="preserve"> </w:t>
      </w:r>
      <w:bookmarkStart w:id="1" w:name="_Hlk67400348"/>
      <w:bookmarkStart w:id="2" w:name="_Hlk70429874"/>
      <w:r w:rsidRPr="00A62A01">
        <w:t>для нужд ЧУЗ «РЖД-Медицина» г. Ульяновск»</w:t>
      </w:r>
      <w:r>
        <w:t>.</w:t>
      </w:r>
    </w:p>
    <w:p w:rsidR="00F4763C" w:rsidRPr="00343A05" w:rsidRDefault="00F4763C" w:rsidP="00F4763C">
      <w:pPr>
        <w:contextualSpacing/>
        <w:rPr>
          <w:sz w:val="28"/>
          <w:szCs w:val="28"/>
        </w:rPr>
      </w:pPr>
    </w:p>
    <w:bookmarkEnd w:id="1"/>
    <w:bookmarkEnd w:id="2"/>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AE3B11">
        <w:t>аппарат для ультразвуковой терапии</w:t>
      </w:r>
      <w:r w:rsidR="00AE3B11" w:rsidRPr="00A62A01">
        <w:t xml:space="preserve"> </w:t>
      </w:r>
      <w:r w:rsidR="00F4763C">
        <w:t>-</w:t>
      </w:r>
      <w:r w:rsidR="009301FA">
        <w:t>1</w:t>
      </w:r>
      <w:r w:rsidR="00883C56">
        <w:t xml:space="preserve"> ед. </w:t>
      </w:r>
    </w:p>
    <w:p w:rsidR="00FC59C7" w:rsidRPr="00FC59C7" w:rsidRDefault="00883C56" w:rsidP="00FC59C7">
      <w:pPr>
        <w:jc w:val="both"/>
        <w:rPr>
          <w:rFonts w:eastAsiaTheme="minorEastAsia"/>
        </w:rPr>
      </w:pPr>
      <w:r w:rsidRPr="00883C56">
        <w:rPr>
          <w:rFonts w:eastAsiaTheme="minorEastAsia"/>
        </w:rPr>
        <w:t>Начальная максимальная цена договора –</w:t>
      </w:r>
      <w:r w:rsidR="00AE3B11" w:rsidRPr="00AE3B11">
        <w:rPr>
          <w:rFonts w:eastAsiaTheme="minorEastAsia"/>
          <w:b/>
          <w:bCs/>
        </w:rPr>
        <w:t xml:space="preserve">116 841 рублей (Сто шестнадцать тысяч восемьсот сорок один) рубль 40 копеек </w:t>
      </w:r>
      <w:r w:rsidR="00AE3B11" w:rsidRPr="00AE3B11">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A61696" w:rsidRPr="00A61696" w:rsidRDefault="006B404B" w:rsidP="00A61696">
      <w:pPr>
        <w:spacing w:after="3"/>
        <w:ind w:right="107" w:firstLine="851"/>
        <w:jc w:val="both"/>
        <w:rPr>
          <w:color w:val="FF0000"/>
        </w:rPr>
      </w:pPr>
      <w:r w:rsidRPr="00A61696">
        <w:lastRenderedPageBreak/>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rsidR="006B404B" w:rsidRPr="00DE206D" w:rsidRDefault="006B404B" w:rsidP="006B404B">
      <w:pPr>
        <w:pStyle w:val="aff2"/>
        <w:numPr>
          <w:ilvl w:val="0"/>
          <w:numId w:val="5"/>
        </w:numPr>
        <w:ind w:left="426"/>
        <w:jc w:val="both"/>
        <w:rPr>
          <w:spacing w:val="-9"/>
        </w:rPr>
      </w:pPr>
      <w:r w:rsidRPr="00DE206D">
        <w:rPr>
          <w:b/>
          <w:bCs/>
        </w:rPr>
        <w:t>Стоимость товаров должна включать:</w:t>
      </w:r>
      <w:r w:rsidRPr="00DE206D">
        <w:t xml:space="preserve">  Вс</w:t>
      </w:r>
      <w:r w:rsidRPr="00B252C4">
        <w:t>е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rsidR="00D22DAB" w:rsidRPr="00DE206D" w:rsidRDefault="006B404B" w:rsidP="00AE3B11">
      <w:pPr>
        <w:pStyle w:val="aff2"/>
        <w:numPr>
          <w:ilvl w:val="0"/>
          <w:numId w:val="5"/>
        </w:numPr>
        <w:ind w:left="426"/>
        <w:jc w:val="both"/>
      </w:pPr>
      <w:r w:rsidRPr="00DE206D">
        <w:rPr>
          <w:b/>
          <w:bCs/>
        </w:rPr>
        <w:t xml:space="preserve">Срок и условия оплаты: </w:t>
      </w:r>
      <w:r w:rsidR="00AE3B11" w:rsidRPr="00AE3B11">
        <w:t>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p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rsidR="006B404B" w:rsidRPr="00297702" w:rsidRDefault="006B404B" w:rsidP="006B404B">
      <w:pPr>
        <w:ind w:left="426" w:firstLine="294"/>
        <w:contextualSpacing/>
        <w:jc w:val="both"/>
      </w:pPr>
    </w:p>
    <w:p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FC59C7">
        <w:rPr>
          <w:b/>
          <w:bCs/>
        </w:rPr>
        <w:t>02</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FC59C7">
        <w:rPr>
          <w:b/>
          <w:bCs/>
        </w:rPr>
        <w:t>08</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F4763C">
        <w:rPr>
          <w:b/>
          <w:bCs/>
        </w:rPr>
        <w:t xml:space="preserve"> </w:t>
      </w:r>
      <w:r w:rsidRPr="006B404B">
        <w:rPr>
          <w:b/>
          <w:bCs/>
        </w:rPr>
        <w:t xml:space="preserve">   </w:t>
      </w:r>
      <w:r w:rsidR="00FC59C7">
        <w:rPr>
          <w:b/>
          <w:bCs/>
        </w:rPr>
        <w:t>09</w:t>
      </w:r>
      <w:r w:rsidRPr="006B404B">
        <w:rPr>
          <w:b/>
          <w:bCs/>
        </w:rPr>
        <w:t>.</w:t>
      </w:r>
      <w:r w:rsidR="00F4763C">
        <w:rPr>
          <w:b/>
          <w:bCs/>
        </w:rPr>
        <w:t>1</w:t>
      </w:r>
      <w:r w:rsidR="00FC59C7">
        <w:rPr>
          <w:b/>
          <w:bCs/>
        </w:rPr>
        <w:t>2</w:t>
      </w:r>
      <w:r w:rsidRPr="006B404B">
        <w:rPr>
          <w:b/>
          <w:bCs/>
        </w:rPr>
        <w:t>.202</w:t>
      </w:r>
      <w:r w:rsidR="00D324E7">
        <w:rPr>
          <w:b/>
          <w:bCs/>
        </w:rPr>
        <w:t>2</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 xml:space="preserve">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w:t>
      </w:r>
      <w:r w:rsidRPr="007969A7">
        <w:rPr>
          <w:bCs/>
          <w:sz w:val="24"/>
          <w:szCs w:val="24"/>
        </w:rPr>
        <w:lastRenderedPageBreak/>
        <w:t>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 xml:space="preserve">В случае внесения изменений в извещение о проведении запроса котировок и(или) </w:t>
      </w:r>
      <w:r w:rsidRPr="009F25F0">
        <w:rPr>
          <w:bCs/>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 xml:space="preserve">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w:t>
      </w:r>
      <w:r w:rsidRPr="009F25F0">
        <w:lastRenderedPageBreak/>
        <w:t>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w:t>
      </w:r>
      <w:r w:rsidRPr="009F25F0">
        <w:lastRenderedPageBreak/>
        <w:t>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w:t>
      </w:r>
      <w:r w:rsidRPr="009F25F0">
        <w:lastRenderedPageBreak/>
        <w:t>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 xml:space="preserve">Переторжка может быть отменена в любое время до ее окончания. Переторжка в режиме </w:t>
      </w:r>
      <w:r w:rsidRPr="009F25F0">
        <w:lastRenderedPageBreak/>
        <w:t>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 xml:space="preserve">Участник вправе отозвать поданное предложение с новыми условиями в любое время </w:t>
      </w:r>
      <w:r w:rsidRPr="009F25F0">
        <w:lastRenderedPageBreak/>
        <w:t>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w:t>
      </w:r>
      <w:r w:rsidRPr="009F25F0">
        <w:lastRenderedPageBreak/>
        <w:t>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r w:rsidRPr="009F25F0">
        <w:t xml:space="preserve">неприостановление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9F25F0">
        <w:lastRenderedPageBreak/>
        <w:t>такие результаты;</w:t>
      </w:r>
    </w:p>
    <w:p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lastRenderedPageBreak/>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FC59C7" w:rsidRDefault="009F25F0" w:rsidP="00251D7D">
      <w:pPr>
        <w:ind w:firstLine="851"/>
      </w:pPr>
      <w:r w:rsidRPr="009F25F0">
        <w:t>Председатель  комиссии по закупкам</w:t>
      </w:r>
      <w:r w:rsidRPr="009F25F0">
        <w:tab/>
        <w:t xml:space="preserve">_____________________  </w:t>
      </w:r>
      <w:r>
        <w:t>И.Н. Агафоно</w:t>
      </w:r>
      <w:r w:rsidR="00AE3B11">
        <w:t>в</w:t>
      </w:r>
      <w:r w:rsidR="00251D7D">
        <w:t>а</w:t>
      </w:r>
    </w:p>
    <w:p w:rsidR="00FC59C7" w:rsidRDefault="00FC59C7" w:rsidP="009F25F0">
      <w:pPr>
        <w:ind w:firstLine="851"/>
      </w:pPr>
    </w:p>
    <w:p w:rsidR="00FC59C7" w:rsidRDefault="00FC59C7" w:rsidP="009F25F0">
      <w:pPr>
        <w:ind w:firstLine="851"/>
      </w:pPr>
    </w:p>
    <w:p w:rsidR="003D44D1" w:rsidRPr="008D5A7D" w:rsidRDefault="003D44D1" w:rsidP="003D44D1">
      <w:pPr>
        <w:pStyle w:val="4"/>
        <w:jc w:val="right"/>
      </w:pPr>
      <w:bookmarkStart w:id="3" w:name="_Hlk67407723"/>
      <w:bookmarkStart w:id="4" w:name="_GoBack"/>
      <w:bookmarkEnd w:id="4"/>
      <w:r w:rsidRPr="008D5A7D">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r>
        <w:rPr>
          <w:color w:val="000000"/>
          <w:lang w:val="en-US" w:eastAsia="ar-SA"/>
        </w:rPr>
        <w:t>ob</w:t>
      </w:r>
      <w:r w:rsidRPr="00D50FE5">
        <w:rPr>
          <w:color w:val="000000"/>
          <w:lang w:eastAsia="ar-SA"/>
        </w:rPr>
        <w:t>_</w:t>
      </w:r>
      <w:r>
        <w:rPr>
          <w:color w:val="000000"/>
          <w:lang w:val="en-US" w:eastAsia="ar-SA"/>
        </w:rPr>
        <w:t>ul</w:t>
      </w:r>
      <w:r w:rsidRPr="00D50FE5">
        <w:rPr>
          <w:color w:val="000000"/>
          <w:lang w:eastAsia="ar-SA"/>
        </w:rPr>
        <w:t>_</w:t>
      </w:r>
      <w:r>
        <w:rPr>
          <w:color w:val="000000"/>
          <w:lang w:val="en-US" w:eastAsia="ar-SA"/>
        </w:rPr>
        <w:t>zakupki</w:t>
      </w:r>
      <w:r w:rsidRPr="00D50FE5">
        <w:rPr>
          <w:color w:val="000000"/>
          <w:lang w:eastAsia="ar-SA"/>
        </w:rPr>
        <w:t>@</w:t>
      </w:r>
      <w:r>
        <w:rPr>
          <w:color w:val="000000"/>
          <w:lang w:val="en-US" w:eastAsia="ar-SA"/>
        </w:rPr>
        <w:t>mail</w:t>
      </w:r>
      <w:r w:rsidRPr="00D50FE5">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AE3B11" w:rsidP="00646BCA">
            <w:r>
              <w:t>Аппарат для ультразвуковой терапии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AE3B11" w:rsidP="00646BCA">
            <w:pPr>
              <w:jc w:val="center"/>
            </w:pPr>
            <w:r>
              <w:t>116 841,40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AE3B11" w:rsidP="00646BCA">
            <w:pPr>
              <w:jc w:val="center"/>
            </w:pPr>
            <w:r>
              <w:t>116 841,40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AE3B11" w:rsidRDefault="00AE3B11" w:rsidP="00646BCA">
            <w:pPr>
              <w:jc w:val="center"/>
              <w:rPr>
                <w:b/>
                <w:bCs/>
              </w:rPr>
            </w:pPr>
            <w:r w:rsidRPr="00AE3B11">
              <w:rPr>
                <w:b/>
                <w:bCs/>
              </w:rPr>
              <w:t>116 841,40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646BCA" w:rsidRPr="00CE1CC2" w:rsidTr="006F59B0">
        <w:tc>
          <w:tcPr>
            <w:tcW w:w="688" w:type="dxa"/>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6F59B0">
        <w:tc>
          <w:tcPr>
            <w:tcW w:w="688" w:type="dxa"/>
            <w:shd w:val="clear" w:color="auto" w:fill="auto"/>
            <w:vAlign w:val="center"/>
          </w:tcPr>
          <w:p w:rsidR="00646BCA" w:rsidRPr="000B51C5" w:rsidRDefault="00646BCA" w:rsidP="00646BCA">
            <w:pPr>
              <w:shd w:val="clear" w:color="auto" w:fill="FFFFFF"/>
              <w:snapToGrid w:val="0"/>
              <w:ind w:left="24"/>
              <w:jc w:val="center"/>
              <w:rPr>
                <w:b/>
                <w:bCs/>
                <w:spacing w:val="-6"/>
                <w:sz w:val="22"/>
                <w:szCs w:val="22"/>
              </w:rPr>
            </w:pPr>
          </w:p>
          <w:p w:rsidR="00646BCA" w:rsidRPr="000B51C5" w:rsidRDefault="00646BCA" w:rsidP="00646BCA">
            <w:pPr>
              <w:shd w:val="clear" w:color="auto" w:fill="FFFFFF"/>
              <w:ind w:left="24"/>
              <w:jc w:val="center"/>
              <w:rPr>
                <w:b/>
                <w:bCs/>
                <w:spacing w:val="-6"/>
                <w:sz w:val="22"/>
                <w:szCs w:val="22"/>
              </w:rPr>
            </w:pPr>
            <w:r w:rsidRPr="000B51C5">
              <w:rPr>
                <w:b/>
                <w:bCs/>
                <w:spacing w:val="-6"/>
                <w:sz w:val="22"/>
                <w:szCs w:val="22"/>
              </w:rPr>
              <w:t>№ п/п</w:t>
            </w:r>
          </w:p>
        </w:tc>
        <w:tc>
          <w:tcPr>
            <w:tcW w:w="956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p>
          <w:p w:rsidR="00646BCA" w:rsidRPr="000B51C5" w:rsidRDefault="00646BCA" w:rsidP="00646BCA">
            <w:pPr>
              <w:shd w:val="clear" w:color="auto" w:fill="FFFFFF"/>
              <w:ind w:left="24"/>
              <w:jc w:val="center"/>
              <w:rPr>
                <w:b/>
                <w:bCs/>
                <w:color w:val="000000"/>
                <w:spacing w:val="-6"/>
                <w:sz w:val="22"/>
                <w:szCs w:val="22"/>
              </w:rPr>
            </w:pPr>
            <w:r w:rsidRPr="000B51C5">
              <w:rPr>
                <w:b/>
                <w:bCs/>
                <w:color w:val="000000"/>
                <w:spacing w:val="-6"/>
                <w:sz w:val="22"/>
                <w:szCs w:val="22"/>
              </w:rPr>
              <w:t>Наименование параметра</w:t>
            </w:r>
          </w:p>
        </w:tc>
        <w:tc>
          <w:tcPr>
            <w:tcW w:w="4536" w:type="dxa"/>
            <w:shd w:val="clear" w:color="auto" w:fill="auto"/>
            <w:vAlign w:val="center"/>
          </w:tcPr>
          <w:p w:rsidR="00646BCA" w:rsidRPr="000B51C5" w:rsidRDefault="00646BCA" w:rsidP="00646BCA">
            <w:pPr>
              <w:shd w:val="clear" w:color="auto" w:fill="FFFFFF"/>
              <w:snapToGrid w:val="0"/>
              <w:ind w:left="24"/>
              <w:jc w:val="center"/>
              <w:rPr>
                <w:b/>
                <w:bCs/>
                <w:color w:val="000000"/>
                <w:spacing w:val="-6"/>
                <w:sz w:val="22"/>
                <w:szCs w:val="22"/>
              </w:rPr>
            </w:pPr>
          </w:p>
          <w:p w:rsidR="00646BCA" w:rsidRPr="000B51C5" w:rsidRDefault="00646BCA" w:rsidP="00646BCA">
            <w:pPr>
              <w:shd w:val="clear" w:color="auto" w:fill="FFFFFF"/>
              <w:ind w:left="24"/>
              <w:jc w:val="center"/>
              <w:rPr>
                <w:b/>
                <w:sz w:val="22"/>
                <w:szCs w:val="22"/>
              </w:rPr>
            </w:pPr>
            <w:r w:rsidRPr="000B51C5">
              <w:rPr>
                <w:b/>
                <w:bCs/>
                <w:color w:val="000000"/>
                <w:spacing w:val="-6"/>
                <w:sz w:val="22"/>
                <w:szCs w:val="22"/>
              </w:rPr>
              <w:t xml:space="preserve">Требования к техническим и функциональным характеристикам товара </w:t>
            </w:r>
          </w:p>
        </w:tc>
      </w:tr>
      <w:tr w:rsidR="00F97517" w:rsidRPr="00CE1CC2" w:rsidTr="00FC59C7">
        <w:tc>
          <w:tcPr>
            <w:tcW w:w="688" w:type="dxa"/>
            <w:shd w:val="clear" w:color="auto" w:fill="auto"/>
          </w:tcPr>
          <w:p w:rsidR="00F97517" w:rsidRPr="00EB3DA5" w:rsidRDefault="00F97517" w:rsidP="00FC59C7">
            <w:pPr>
              <w:snapToGrid w:val="0"/>
              <w:rPr>
                <w:b/>
                <w:sz w:val="20"/>
                <w:szCs w:val="20"/>
              </w:rPr>
            </w:pPr>
            <w:r w:rsidRPr="00EB3DA5">
              <w:rPr>
                <w:b/>
                <w:sz w:val="20"/>
                <w:szCs w:val="20"/>
              </w:rPr>
              <w:t>1.</w:t>
            </w: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97517" w:rsidRPr="00FE26BB" w:rsidRDefault="00F97517" w:rsidP="00FC59C7">
            <w:pPr>
              <w:snapToGrid w:val="0"/>
              <w:rPr>
                <w:b/>
                <w:sz w:val="20"/>
                <w:szCs w:val="20"/>
              </w:rPr>
            </w:pPr>
            <w:r w:rsidRPr="00FE26BB">
              <w:rPr>
                <w:b/>
                <w:sz w:val="20"/>
                <w:szCs w:val="20"/>
              </w:rPr>
              <w:t>Общие требования</w:t>
            </w:r>
          </w:p>
        </w:tc>
        <w:tc>
          <w:tcPr>
            <w:tcW w:w="4536" w:type="dxa"/>
            <w:shd w:val="clear" w:color="auto" w:fill="auto"/>
          </w:tcPr>
          <w:p w:rsidR="00F97517" w:rsidRPr="009D010F" w:rsidRDefault="00F97517" w:rsidP="00FC59C7">
            <w:pPr>
              <w:rPr>
                <w:sz w:val="20"/>
                <w:szCs w:val="20"/>
              </w:rPr>
            </w:pPr>
          </w:p>
        </w:tc>
      </w:tr>
      <w:tr w:rsidR="00FC59C7" w:rsidRPr="00CE1CC2" w:rsidTr="00FC59C7">
        <w:tc>
          <w:tcPr>
            <w:tcW w:w="688" w:type="dxa"/>
            <w:shd w:val="clear" w:color="auto" w:fill="auto"/>
          </w:tcPr>
          <w:p w:rsidR="00FC59C7" w:rsidRPr="00EB3DA5" w:rsidRDefault="00FC59C7" w:rsidP="00FC59C7">
            <w:pPr>
              <w:snapToGrid w:val="0"/>
              <w:rPr>
                <w:b/>
                <w:sz w:val="20"/>
                <w:szCs w:val="20"/>
              </w:rPr>
            </w:pPr>
          </w:p>
        </w:tc>
        <w:tc>
          <w:tcPr>
            <w:tcW w:w="9566" w:type="dxa"/>
            <w:tcBorders>
              <w:top w:val="single" w:sz="4" w:space="0" w:color="auto"/>
              <w:left w:val="single" w:sz="4" w:space="0" w:color="auto"/>
              <w:bottom w:val="single" w:sz="4" w:space="0" w:color="auto"/>
              <w:right w:val="single" w:sz="4" w:space="0" w:color="auto"/>
            </w:tcBorders>
            <w:shd w:val="clear" w:color="auto" w:fill="auto"/>
          </w:tcPr>
          <w:p w:rsidR="00FC59C7" w:rsidRPr="00806582" w:rsidRDefault="00CD5CB9" w:rsidP="00CD5CB9">
            <w:pPr>
              <w:widowControl w:val="0"/>
              <w:jc w:val="both"/>
              <w:rPr>
                <w:bCs/>
                <w:sz w:val="22"/>
                <w:szCs w:val="22"/>
              </w:rPr>
            </w:pPr>
            <w:r w:rsidRPr="00806582">
              <w:rPr>
                <w:bCs/>
                <w:sz w:val="22"/>
                <w:szCs w:val="22"/>
              </w:rPr>
              <w:t>Аппарат  для у</w:t>
            </w:r>
            <w:r w:rsidR="00806582" w:rsidRPr="00806582">
              <w:rPr>
                <w:bCs/>
                <w:sz w:val="22"/>
                <w:szCs w:val="22"/>
              </w:rPr>
              <w:t>льт</w:t>
            </w:r>
            <w:r w:rsidRPr="00806582">
              <w:rPr>
                <w:bCs/>
                <w:sz w:val="22"/>
                <w:szCs w:val="22"/>
              </w:rPr>
              <w:t xml:space="preserve">развуковой </w:t>
            </w:r>
            <w:r w:rsidR="00806582" w:rsidRPr="00806582">
              <w:rPr>
                <w:bCs/>
                <w:sz w:val="22"/>
                <w:szCs w:val="22"/>
              </w:rPr>
              <w:t xml:space="preserve">терапии </w:t>
            </w:r>
            <w:r w:rsidRPr="00806582">
              <w:rPr>
                <w:bCs/>
                <w:sz w:val="22"/>
                <w:szCs w:val="22"/>
              </w:rPr>
              <w:t>предназначения для лечения ультразвуком различных заболеваний периферической нервной системы опорно-двигательного аппарата, пародонтоза, глоссалгии, артрозов, артритов, келоидных и послеоперационных рубцов лица и шеи, урологических заболеваний типа хронического пиелонефрита, цистита, дистаний, хронического простатита, мочекаменной болезни, травматических катаракт, гемофтальма, частичной атрофии зрительного нерва, пигментной дегенерации сетчатки, рубцовых заболеваний век, мойбомиитов, халязионов, склоритов</w:t>
            </w:r>
          </w:p>
        </w:tc>
        <w:tc>
          <w:tcPr>
            <w:tcW w:w="4536" w:type="dxa"/>
            <w:shd w:val="clear" w:color="auto" w:fill="auto"/>
          </w:tcPr>
          <w:p w:rsidR="00FC59C7" w:rsidRPr="009D010F" w:rsidRDefault="00FC59C7" w:rsidP="00FC59C7">
            <w:pPr>
              <w:rPr>
                <w:sz w:val="20"/>
                <w:szCs w:val="20"/>
              </w:rPr>
            </w:pP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1.1</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П</w:t>
            </w:r>
            <w:r w:rsidRPr="00C70AF1">
              <w:rPr>
                <w:rFonts w:ascii="Times New Roman" w:eastAsia="Times New Roman" w:hAnsi="Times New Roman" w:cs="Times New Roman"/>
                <w:color w:val="000000"/>
                <w:kern w:val="0"/>
                <w:lang w:val="ru-RU" w:eastAsia="ru-RU"/>
              </w:rPr>
              <w:t>итание от сети переменного тока (В/Гц):</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C70AF1" w:rsidP="00FC59C7">
            <w:pPr>
              <w:pStyle w:val="TableParagraph"/>
              <w:spacing w:before="38"/>
              <w:ind w:left="80"/>
              <w:rPr>
                <w:rFonts w:ascii="Times New Roman" w:eastAsia="Calibri Light" w:hAnsi="Times New Roman" w:cs="Times New Roman"/>
                <w:lang w:val="ru-RU"/>
              </w:rPr>
            </w:pPr>
            <w:r w:rsidRPr="00C70AF1">
              <w:rPr>
                <w:rFonts w:ascii="Times New Roman" w:eastAsia="Calibri Light" w:hAnsi="Times New Roman" w:cs="Times New Roman"/>
                <w:lang w:val="ru-RU"/>
              </w:rPr>
              <w:t>220/50;</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П</w:t>
            </w:r>
            <w:r w:rsidRPr="00C70AF1">
              <w:rPr>
                <w:rFonts w:ascii="Times New Roman" w:eastAsia="Times New Roman" w:hAnsi="Times New Roman" w:cs="Times New Roman"/>
                <w:color w:val="000000"/>
                <w:kern w:val="0"/>
                <w:lang w:val="ru-RU" w:eastAsia="ru-RU"/>
              </w:rPr>
              <w:t>отребляемая мощность</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C70AF1" w:rsidP="00FC59C7">
            <w:pPr>
              <w:pStyle w:val="TableParagraph"/>
              <w:spacing w:before="38"/>
              <w:ind w:left="80"/>
              <w:rPr>
                <w:rFonts w:ascii="Times New Roman" w:eastAsia="Calibri Light" w:hAnsi="Times New Roman" w:cs="Times New Roman"/>
              </w:rPr>
            </w:pPr>
            <w:r w:rsidRPr="00C70AF1">
              <w:rPr>
                <w:rFonts w:ascii="Times New Roman" w:eastAsia="Calibri Light" w:hAnsi="Times New Roman" w:cs="Times New Roman"/>
              </w:rPr>
              <w:t>45;</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1.3</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Ч</w:t>
            </w:r>
            <w:r w:rsidRPr="00C70AF1">
              <w:rPr>
                <w:rFonts w:ascii="Times New Roman" w:eastAsia="Times New Roman" w:hAnsi="Times New Roman" w:cs="Times New Roman"/>
                <w:color w:val="000000"/>
                <w:kern w:val="0"/>
                <w:lang w:val="ru-RU" w:eastAsia="ru-RU"/>
              </w:rPr>
              <w:t>астота ультразвуковых колебаний (мГц):</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0,88±0,1%;</w:t>
            </w: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1.4</w:t>
            </w:r>
          </w:p>
        </w:tc>
        <w:tc>
          <w:tcPr>
            <w:tcW w:w="9566" w:type="dxa"/>
            <w:tcBorders>
              <w:top w:val="single" w:sz="4" w:space="0" w:color="7F7F7F"/>
              <w:left w:val="single" w:sz="4" w:space="0" w:color="7F7F7F"/>
              <w:bottom w:val="single" w:sz="4" w:space="0" w:color="7F7F7F"/>
              <w:right w:val="single" w:sz="4" w:space="0" w:color="7F7F7F"/>
            </w:tcBorders>
          </w:tcPr>
          <w:p w:rsidR="00806582" w:rsidRPr="00806582" w:rsidRDefault="00806582" w:rsidP="00806582">
            <w:pPr>
              <w:shd w:val="clear" w:color="auto" w:fill="FFFFFF"/>
              <w:spacing w:after="150" w:line="259" w:lineRule="auto"/>
              <w:jc w:val="both"/>
              <w:rPr>
                <w:color w:val="000000"/>
                <w:sz w:val="22"/>
                <w:szCs w:val="22"/>
              </w:rPr>
            </w:pPr>
            <w:r w:rsidRPr="00C70AF1">
              <w:rPr>
                <w:color w:val="000000"/>
                <w:sz w:val="22"/>
                <w:szCs w:val="22"/>
              </w:rPr>
              <w:t>Э</w:t>
            </w:r>
            <w:r w:rsidRPr="00806582">
              <w:rPr>
                <w:color w:val="000000"/>
                <w:sz w:val="22"/>
                <w:szCs w:val="22"/>
              </w:rPr>
              <w:t>ффективная площадь излучателя:</w:t>
            </w:r>
          </w:p>
          <w:p w:rsidR="00FC59C7" w:rsidRPr="00C70AF1" w:rsidRDefault="00FC59C7" w:rsidP="00FC59C7">
            <w:pPr>
              <w:pStyle w:val="TableParagraph"/>
              <w:spacing w:before="38" w:line="245" w:lineRule="auto"/>
              <w:ind w:left="80" w:right="327"/>
              <w:rPr>
                <w:rFonts w:ascii="Times New Roman" w:eastAsia="Calibri Light" w:hAnsi="Times New Roman" w:cs="Times New Roman"/>
                <w:lang w:val="ru-RU"/>
              </w:rPr>
            </w:pPr>
          </w:p>
        </w:tc>
        <w:tc>
          <w:tcPr>
            <w:tcW w:w="4536" w:type="dxa"/>
            <w:tcBorders>
              <w:top w:val="single" w:sz="4" w:space="0" w:color="7F7F7F"/>
              <w:left w:val="single" w:sz="4" w:space="0" w:color="7F7F7F"/>
              <w:bottom w:val="single" w:sz="4" w:space="0" w:color="7F7F7F"/>
              <w:right w:val="single" w:sz="4" w:space="0" w:color="7F7F7F"/>
            </w:tcBorders>
          </w:tcPr>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lastRenderedPageBreak/>
              <w:t>0,88-1.03Ф (см²): 1;</w:t>
            </w:r>
          </w:p>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lastRenderedPageBreak/>
              <w:t>0,88-1.05Ф (см²): 1;</w:t>
            </w:r>
          </w:p>
          <w:p w:rsidR="00806582" w:rsidRPr="00806582" w:rsidRDefault="00806582" w:rsidP="002F555D">
            <w:pPr>
              <w:numPr>
                <w:ilvl w:val="1"/>
                <w:numId w:val="39"/>
              </w:numPr>
              <w:shd w:val="clear" w:color="auto" w:fill="FFFFFF"/>
              <w:spacing w:before="100" w:beforeAutospacing="1" w:after="100" w:afterAutospacing="1" w:line="259" w:lineRule="auto"/>
              <w:rPr>
                <w:color w:val="000000"/>
                <w:sz w:val="22"/>
                <w:szCs w:val="22"/>
              </w:rPr>
            </w:pPr>
            <w:r w:rsidRPr="00806582">
              <w:rPr>
                <w:color w:val="000000"/>
                <w:sz w:val="22"/>
                <w:szCs w:val="22"/>
              </w:rPr>
              <w:t>0,88-4.04Ф (см²): 4;</w:t>
            </w:r>
          </w:p>
          <w:p w:rsidR="00FC59C7" w:rsidRPr="00C70AF1" w:rsidRDefault="00FC59C7" w:rsidP="00FC59C7">
            <w:pPr>
              <w:pStyle w:val="TableParagraph"/>
              <w:spacing w:before="38" w:line="245" w:lineRule="auto"/>
              <w:ind w:left="80" w:right="109"/>
              <w:rPr>
                <w:rFonts w:ascii="Times New Roman" w:eastAsia="Calibri Light" w:hAnsi="Times New Roman" w:cs="Times New Roman"/>
                <w:lang w:val="ru-RU"/>
              </w:rPr>
            </w:pPr>
          </w:p>
        </w:tc>
      </w:tr>
      <w:tr w:rsidR="00FC59C7" w:rsidRPr="00CE1CC2" w:rsidTr="00FC59C7">
        <w:tc>
          <w:tcPr>
            <w:tcW w:w="688" w:type="dxa"/>
            <w:shd w:val="clear" w:color="auto" w:fill="auto"/>
          </w:tcPr>
          <w:p w:rsidR="00FC59C7" w:rsidRPr="00FE26BB" w:rsidRDefault="00FC59C7" w:rsidP="00FC59C7">
            <w:pPr>
              <w:rPr>
                <w:sz w:val="20"/>
                <w:szCs w:val="20"/>
              </w:rPr>
            </w:pPr>
            <w:r w:rsidRPr="00FE26BB">
              <w:rPr>
                <w:sz w:val="20"/>
                <w:szCs w:val="20"/>
              </w:rPr>
              <w:t>1.5</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Р</w:t>
            </w:r>
            <w:r w:rsidRPr="00C70AF1">
              <w:rPr>
                <w:rFonts w:ascii="Times New Roman" w:eastAsia="Times New Roman" w:hAnsi="Times New Roman" w:cs="Times New Roman"/>
                <w:color w:val="000000"/>
                <w:kern w:val="0"/>
                <w:lang w:val="ru-RU" w:eastAsia="ru-RU"/>
              </w:rPr>
              <w:t>егулировка отдаваемой мощности:</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ступенчатая;</w:t>
            </w:r>
          </w:p>
        </w:tc>
      </w:tr>
      <w:tr w:rsidR="00FC59C7" w:rsidRPr="00CE1CC2" w:rsidTr="00FC59C7">
        <w:tc>
          <w:tcPr>
            <w:tcW w:w="688" w:type="dxa"/>
            <w:shd w:val="clear" w:color="auto" w:fill="auto"/>
          </w:tcPr>
          <w:p w:rsidR="00FC59C7" w:rsidRPr="00FE26BB" w:rsidRDefault="00FC59C7" w:rsidP="00FC59C7">
            <w:pPr>
              <w:rPr>
                <w:sz w:val="20"/>
                <w:szCs w:val="20"/>
              </w:rPr>
            </w:pPr>
            <w:r>
              <w:rPr>
                <w:sz w:val="20"/>
                <w:szCs w:val="20"/>
              </w:rPr>
              <w:t>1</w:t>
            </w:r>
            <w:r w:rsidR="002F555D">
              <w:rPr>
                <w:sz w:val="20"/>
                <w:szCs w:val="20"/>
              </w:rPr>
              <w:t>.</w:t>
            </w:r>
            <w:r>
              <w:rPr>
                <w:sz w:val="20"/>
                <w:szCs w:val="20"/>
              </w:rPr>
              <w:t>6</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line="245" w:lineRule="auto"/>
              <w:ind w:right="215"/>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И</w:t>
            </w:r>
            <w:r w:rsidRPr="00C70AF1">
              <w:rPr>
                <w:rFonts w:ascii="Times New Roman" w:eastAsia="Times New Roman" w:hAnsi="Times New Roman" w:cs="Times New Roman"/>
                <w:color w:val="000000"/>
                <w:kern w:val="0"/>
                <w:lang w:val="ru-RU" w:eastAsia="ru-RU"/>
              </w:rPr>
              <w:t>нтенсивность ультразвуковых колебаний, по ступеням (вт/см³):</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lang w:val="ru-RU"/>
              </w:rPr>
            </w:pPr>
            <w:r w:rsidRPr="002F555D">
              <w:rPr>
                <w:rFonts w:ascii="Times New Roman" w:eastAsia="Calibri Light" w:hAnsi="Times New Roman" w:cs="Times New Roman"/>
                <w:lang w:val="ru-RU"/>
              </w:rPr>
              <w:t>0 до 1 сек шагом 0,1;</w:t>
            </w:r>
          </w:p>
        </w:tc>
      </w:tr>
      <w:tr w:rsidR="00FC59C7" w:rsidRPr="00CE1CC2" w:rsidTr="00FC59C7">
        <w:tc>
          <w:tcPr>
            <w:tcW w:w="688" w:type="dxa"/>
            <w:shd w:val="clear" w:color="auto" w:fill="auto"/>
          </w:tcPr>
          <w:p w:rsidR="00FC59C7" w:rsidRPr="00EB3DA5" w:rsidRDefault="00FC59C7" w:rsidP="00FC59C7">
            <w:pPr>
              <w:jc w:val="center"/>
              <w:rPr>
                <w:b/>
                <w:sz w:val="20"/>
                <w:szCs w:val="20"/>
              </w:rPr>
            </w:pPr>
            <w:r>
              <w:rPr>
                <w:b/>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line="245" w:lineRule="auto"/>
              <w:ind w:right="469"/>
              <w:rPr>
                <w:rFonts w:ascii="Times New Roman" w:eastAsia="Calibri Light" w:hAnsi="Times New Roman" w:cs="Times New Roman"/>
                <w:lang w:val="ru-RU"/>
              </w:rPr>
            </w:pPr>
            <w:r w:rsidRPr="00C70AF1">
              <w:rPr>
                <w:rFonts w:ascii="Times New Roman" w:eastAsia="Times New Roman" w:hAnsi="Times New Roman" w:cs="Times New Roman"/>
                <w:color w:val="000000"/>
                <w:kern w:val="0"/>
                <w:lang w:val="ru-RU" w:eastAsia="ru-RU"/>
              </w:rPr>
              <w:t>Д</w:t>
            </w:r>
            <w:r w:rsidRPr="00C70AF1">
              <w:rPr>
                <w:rFonts w:ascii="Times New Roman" w:eastAsia="Times New Roman" w:hAnsi="Times New Roman" w:cs="Times New Roman"/>
                <w:color w:val="000000"/>
                <w:kern w:val="0"/>
                <w:lang w:val="ru-RU" w:eastAsia="ru-RU"/>
              </w:rPr>
              <w:t>лительность импульсов (мс):</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2, 4 и 10 ±20%;</w:t>
            </w:r>
          </w:p>
        </w:tc>
      </w:tr>
      <w:tr w:rsidR="00FC59C7" w:rsidRPr="00CE1CC2" w:rsidTr="00FC59C7">
        <w:tc>
          <w:tcPr>
            <w:tcW w:w="688" w:type="dxa"/>
            <w:shd w:val="clear" w:color="auto" w:fill="auto"/>
          </w:tcPr>
          <w:p w:rsidR="00FC59C7" w:rsidRPr="009D010F" w:rsidRDefault="00FC59C7" w:rsidP="00FC59C7">
            <w:pPr>
              <w:snapToGrid w:val="0"/>
              <w:rPr>
                <w:sz w:val="20"/>
                <w:szCs w:val="20"/>
              </w:rPr>
            </w:pPr>
            <w:r>
              <w:rPr>
                <w:sz w:val="20"/>
                <w:szCs w:val="20"/>
              </w:rPr>
              <w:t>2</w:t>
            </w:r>
            <w:r w:rsidRPr="009D010F">
              <w:rPr>
                <w:sz w:val="20"/>
                <w:szCs w:val="20"/>
              </w:rPr>
              <w:t>.1</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Ч</w:t>
            </w:r>
            <w:r w:rsidR="00806582" w:rsidRPr="00C70AF1">
              <w:rPr>
                <w:rFonts w:ascii="Times New Roman" w:eastAsia="Times New Roman" w:hAnsi="Times New Roman" w:cs="Times New Roman"/>
                <w:color w:val="000000"/>
                <w:kern w:val="0"/>
                <w:lang w:val="ru-RU" w:eastAsia="ru-RU"/>
              </w:rPr>
              <w:t>астота повторений импульсов (Гц):</w:t>
            </w:r>
          </w:p>
        </w:tc>
        <w:tc>
          <w:tcPr>
            <w:tcW w:w="4536" w:type="dxa"/>
            <w:tcBorders>
              <w:top w:val="single" w:sz="4" w:space="0" w:color="7F7F7F"/>
              <w:left w:val="single" w:sz="4" w:space="0" w:color="7F7F7F"/>
              <w:bottom w:val="single" w:sz="4" w:space="0" w:color="7F7F7F"/>
              <w:right w:val="single" w:sz="4" w:space="0" w:color="7F7F7F"/>
            </w:tcBorders>
          </w:tcPr>
          <w:p w:rsidR="002F555D" w:rsidRPr="002F555D" w:rsidRDefault="002F555D" w:rsidP="002F555D">
            <w:pPr>
              <w:shd w:val="clear" w:color="auto" w:fill="FFFFFF"/>
              <w:spacing w:before="100" w:beforeAutospacing="1" w:after="100" w:afterAutospacing="1" w:line="259" w:lineRule="auto"/>
              <w:jc w:val="both"/>
              <w:rPr>
                <w:color w:val="000000"/>
                <w:sz w:val="22"/>
                <w:szCs w:val="22"/>
              </w:rPr>
            </w:pPr>
            <w:r>
              <w:rPr>
                <w:rFonts w:ascii="Roboto" w:hAnsi="Roboto"/>
                <w:color w:val="000000"/>
              </w:rPr>
              <w:t xml:space="preserve"> </w:t>
            </w:r>
            <w:r w:rsidRPr="002F555D">
              <w:rPr>
                <w:color w:val="000000"/>
                <w:sz w:val="22"/>
                <w:szCs w:val="22"/>
              </w:rPr>
              <w:t>50;</w:t>
            </w:r>
          </w:p>
          <w:p w:rsidR="00FC59C7" w:rsidRPr="00C70AF1" w:rsidRDefault="00FC59C7" w:rsidP="00FC59C7">
            <w:pPr>
              <w:pStyle w:val="TableParagraph"/>
              <w:spacing w:before="38" w:line="245" w:lineRule="auto"/>
              <w:ind w:left="80" w:right="520"/>
              <w:rPr>
                <w:rFonts w:ascii="Times New Roman" w:eastAsia="Calibri Light" w:hAnsi="Times New Roman" w:cs="Times New Roman"/>
                <w:lang w:val="ru-RU"/>
              </w:rPr>
            </w:pPr>
          </w:p>
        </w:tc>
      </w:tr>
      <w:tr w:rsidR="00FC59C7" w:rsidRPr="00CE1CC2" w:rsidTr="00FC59C7">
        <w:tc>
          <w:tcPr>
            <w:tcW w:w="688" w:type="dxa"/>
            <w:shd w:val="clear" w:color="auto" w:fill="auto"/>
          </w:tcPr>
          <w:p w:rsidR="00FC59C7" w:rsidRPr="009D010F" w:rsidRDefault="00FC59C7" w:rsidP="00FC59C7">
            <w:pPr>
              <w:tabs>
                <w:tab w:val="left" w:pos="8175"/>
              </w:tabs>
              <w:snapToGrid w:val="0"/>
              <w:rPr>
                <w:sz w:val="20"/>
                <w:szCs w:val="20"/>
              </w:rPr>
            </w:pPr>
            <w:r>
              <w:rPr>
                <w:sz w:val="20"/>
                <w:szCs w:val="20"/>
              </w:rPr>
              <w:t>2</w:t>
            </w:r>
            <w:r w:rsidRPr="009D010F">
              <w:rPr>
                <w:sz w:val="20"/>
                <w:szCs w:val="20"/>
              </w:rPr>
              <w:t>.2</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В</w:t>
            </w:r>
            <w:r w:rsidR="00806582" w:rsidRPr="00C70AF1">
              <w:rPr>
                <w:rFonts w:ascii="Times New Roman" w:eastAsia="Times New Roman" w:hAnsi="Times New Roman" w:cs="Times New Roman"/>
                <w:color w:val="000000"/>
                <w:kern w:val="0"/>
                <w:lang w:val="ru-RU" w:eastAsia="ru-RU"/>
              </w:rPr>
              <w:t>ремя процедуры (мин):</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line="245" w:lineRule="auto"/>
              <w:ind w:left="80" w:right="293"/>
              <w:rPr>
                <w:rFonts w:ascii="Times New Roman" w:eastAsia="Calibri Light" w:hAnsi="Times New Roman" w:cs="Times New Roman"/>
                <w:lang w:val="ru-RU"/>
              </w:rPr>
            </w:pPr>
            <w:r w:rsidRPr="002F555D">
              <w:rPr>
                <w:rFonts w:ascii="Times New Roman" w:eastAsia="Calibri Light" w:hAnsi="Times New Roman" w:cs="Times New Roman"/>
                <w:lang w:val="ru-RU"/>
              </w:rPr>
              <w:t>от 1 до 30;</w:t>
            </w:r>
          </w:p>
        </w:tc>
      </w:tr>
      <w:tr w:rsidR="00FC59C7" w:rsidRPr="00CE1CC2" w:rsidTr="00FC59C7">
        <w:tc>
          <w:tcPr>
            <w:tcW w:w="688" w:type="dxa"/>
            <w:shd w:val="clear" w:color="auto" w:fill="auto"/>
          </w:tcPr>
          <w:p w:rsidR="00FC59C7" w:rsidRDefault="00FC59C7" w:rsidP="00FC59C7">
            <w:r>
              <w:rPr>
                <w:sz w:val="20"/>
                <w:szCs w:val="20"/>
              </w:rPr>
              <w:t>2</w:t>
            </w:r>
            <w:r w:rsidRPr="009D010F">
              <w:rPr>
                <w:sz w:val="20"/>
                <w:szCs w:val="20"/>
              </w:rPr>
              <w:t>.3</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C70AF1"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kern w:val="0"/>
                <w:lang w:val="ru-RU" w:eastAsia="ru-RU"/>
              </w:rPr>
              <w:t>Га</w:t>
            </w:r>
            <w:r w:rsidR="00806582" w:rsidRPr="00C70AF1">
              <w:rPr>
                <w:rFonts w:ascii="Times New Roman" w:eastAsia="Times New Roman" w:hAnsi="Times New Roman" w:cs="Times New Roman"/>
                <w:color w:val="000000"/>
                <w:kern w:val="0"/>
                <w:lang w:val="ru-RU" w:eastAsia="ru-RU"/>
              </w:rPr>
              <w:t>баритные размеры (мм):</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2F555D" w:rsidP="00FC59C7">
            <w:pPr>
              <w:pStyle w:val="TableParagraph"/>
              <w:spacing w:before="38"/>
              <w:ind w:left="80"/>
              <w:rPr>
                <w:rFonts w:ascii="Times New Roman" w:eastAsia="Calibri Light" w:hAnsi="Times New Roman" w:cs="Times New Roman"/>
              </w:rPr>
            </w:pPr>
            <w:r w:rsidRPr="002F555D">
              <w:rPr>
                <w:rFonts w:ascii="Times New Roman" w:eastAsia="Calibri Light" w:hAnsi="Times New Roman" w:cs="Times New Roman"/>
              </w:rPr>
              <w:t>360х115х310;</w:t>
            </w:r>
          </w:p>
        </w:tc>
      </w:tr>
      <w:tr w:rsidR="00FC59C7" w:rsidRPr="00CE1CC2" w:rsidTr="00FC59C7">
        <w:tc>
          <w:tcPr>
            <w:tcW w:w="688" w:type="dxa"/>
            <w:shd w:val="clear" w:color="auto" w:fill="auto"/>
          </w:tcPr>
          <w:p w:rsidR="00FC59C7" w:rsidRPr="00C57641" w:rsidRDefault="00FC59C7" w:rsidP="00FC59C7">
            <w:pPr>
              <w:rPr>
                <w:sz w:val="22"/>
                <w:szCs w:val="22"/>
              </w:rPr>
            </w:pPr>
            <w:r w:rsidRPr="00C57641">
              <w:rPr>
                <w:sz w:val="22"/>
                <w:szCs w:val="22"/>
              </w:rPr>
              <w:t>2.4</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pStyle w:val="TableParagraph"/>
              <w:spacing w:before="38"/>
              <w:rPr>
                <w:rFonts w:ascii="Times New Roman" w:eastAsia="Calibri Light" w:hAnsi="Times New Roman" w:cs="Times New Roman"/>
              </w:rPr>
            </w:pPr>
            <w:r w:rsidRPr="00C70AF1">
              <w:rPr>
                <w:rFonts w:ascii="Times New Roman" w:eastAsia="Times New Roman" w:hAnsi="Times New Roman" w:cs="Times New Roman"/>
                <w:color w:val="000000"/>
                <w:lang w:eastAsia="ru-RU"/>
              </w:rPr>
              <w:t>Количество излучателей :</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806582" w:rsidP="00FC59C7">
            <w:pPr>
              <w:pStyle w:val="TableParagraph"/>
              <w:spacing w:before="38"/>
              <w:ind w:left="80"/>
              <w:rPr>
                <w:rFonts w:ascii="Times New Roman" w:eastAsia="Calibri Light" w:hAnsi="Times New Roman" w:cs="Times New Roman"/>
                <w:lang w:val="ru-RU"/>
              </w:rPr>
            </w:pPr>
            <w:r w:rsidRPr="00C70AF1">
              <w:rPr>
                <w:rFonts w:ascii="Times New Roman" w:eastAsia="Calibri Light" w:hAnsi="Times New Roman" w:cs="Times New Roman"/>
                <w:lang w:val="ru-RU"/>
              </w:rPr>
              <w:t>3</w:t>
            </w:r>
          </w:p>
        </w:tc>
      </w:tr>
      <w:tr w:rsidR="00FC59C7" w:rsidRPr="00CE1CC2" w:rsidTr="00C70AF1">
        <w:trPr>
          <w:trHeight w:val="312"/>
        </w:trPr>
        <w:tc>
          <w:tcPr>
            <w:tcW w:w="688" w:type="dxa"/>
            <w:shd w:val="clear" w:color="auto" w:fill="auto"/>
          </w:tcPr>
          <w:p w:rsidR="00FC59C7" w:rsidRPr="00C57641" w:rsidRDefault="00FC59C7" w:rsidP="00FC59C7">
            <w:pPr>
              <w:rPr>
                <w:sz w:val="22"/>
                <w:szCs w:val="22"/>
              </w:rPr>
            </w:pPr>
            <w:r w:rsidRPr="00C57641">
              <w:rPr>
                <w:sz w:val="22"/>
                <w:szCs w:val="22"/>
              </w:rPr>
              <w:t>2.5</w:t>
            </w:r>
          </w:p>
        </w:tc>
        <w:tc>
          <w:tcPr>
            <w:tcW w:w="956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shd w:val="clear" w:color="auto" w:fill="FFFFFF"/>
              <w:spacing w:before="100" w:beforeAutospacing="1" w:after="100" w:afterAutospacing="1"/>
              <w:jc w:val="both"/>
              <w:rPr>
                <w:rFonts w:eastAsia="Calibri Light"/>
                <w:sz w:val="22"/>
                <w:szCs w:val="22"/>
              </w:rPr>
            </w:pPr>
            <w:r w:rsidRPr="00C70AF1">
              <w:rPr>
                <w:color w:val="000000"/>
                <w:sz w:val="22"/>
                <w:szCs w:val="22"/>
              </w:rPr>
              <w:t>Дисплей:</w:t>
            </w:r>
            <w:r w:rsidRPr="00C70AF1">
              <w:rPr>
                <w:rFonts w:eastAsia="Calibri Light"/>
                <w:sz w:val="22"/>
                <w:szCs w:val="22"/>
              </w:rPr>
              <w:t xml:space="preserve"> </w:t>
            </w:r>
          </w:p>
        </w:tc>
        <w:tc>
          <w:tcPr>
            <w:tcW w:w="4536" w:type="dxa"/>
            <w:tcBorders>
              <w:top w:val="single" w:sz="4" w:space="0" w:color="7F7F7F"/>
              <w:left w:val="single" w:sz="4" w:space="0" w:color="7F7F7F"/>
              <w:bottom w:val="single" w:sz="4" w:space="0" w:color="7F7F7F"/>
              <w:right w:val="single" w:sz="4" w:space="0" w:color="7F7F7F"/>
            </w:tcBorders>
          </w:tcPr>
          <w:p w:rsidR="00FC59C7" w:rsidRPr="00C70AF1" w:rsidRDefault="00806582" w:rsidP="00806582">
            <w:pPr>
              <w:shd w:val="clear" w:color="auto" w:fill="FFFFFF"/>
              <w:spacing w:before="100" w:beforeAutospacing="1" w:after="100" w:afterAutospacing="1"/>
              <w:jc w:val="both"/>
              <w:rPr>
                <w:color w:val="000000"/>
                <w:sz w:val="22"/>
                <w:szCs w:val="22"/>
              </w:rPr>
            </w:pPr>
            <w:r w:rsidRPr="00C70AF1">
              <w:rPr>
                <w:color w:val="000000"/>
                <w:sz w:val="22"/>
                <w:szCs w:val="22"/>
              </w:rPr>
              <w:t>цифровой</w:t>
            </w:r>
          </w:p>
        </w:tc>
      </w:tr>
      <w:tr w:rsidR="00806582" w:rsidRPr="00C70AF1" w:rsidTr="00FC59C7">
        <w:tc>
          <w:tcPr>
            <w:tcW w:w="688" w:type="dxa"/>
            <w:shd w:val="clear" w:color="auto" w:fill="auto"/>
          </w:tcPr>
          <w:p w:rsidR="00806582" w:rsidRPr="00C57641" w:rsidRDefault="00C57641" w:rsidP="00FC59C7">
            <w:pPr>
              <w:rPr>
                <w:sz w:val="22"/>
                <w:szCs w:val="22"/>
              </w:rPr>
            </w:pPr>
            <w:r w:rsidRPr="00C57641">
              <w:rPr>
                <w:sz w:val="22"/>
                <w:szCs w:val="22"/>
              </w:rPr>
              <w:t>2.6</w:t>
            </w:r>
          </w:p>
        </w:tc>
        <w:tc>
          <w:tcPr>
            <w:tcW w:w="9566" w:type="dxa"/>
            <w:tcBorders>
              <w:top w:val="single" w:sz="4" w:space="0" w:color="7F7F7F"/>
              <w:left w:val="single" w:sz="4" w:space="0" w:color="7F7F7F"/>
              <w:bottom w:val="single" w:sz="4" w:space="0" w:color="7F7F7F"/>
              <w:right w:val="single" w:sz="4" w:space="0" w:color="7F7F7F"/>
            </w:tcBorders>
          </w:tcPr>
          <w:p w:rsidR="00806582" w:rsidRPr="00C70AF1" w:rsidRDefault="00C70AF1" w:rsidP="00C70AF1">
            <w:pPr>
              <w:shd w:val="clear" w:color="auto" w:fill="FFFFFF"/>
              <w:spacing w:before="100" w:beforeAutospacing="1" w:after="100" w:afterAutospacing="1"/>
              <w:jc w:val="both"/>
              <w:rPr>
                <w:color w:val="000000"/>
                <w:sz w:val="22"/>
                <w:szCs w:val="22"/>
              </w:rPr>
            </w:pPr>
            <w:r w:rsidRPr="00C70AF1">
              <w:rPr>
                <w:color w:val="000000"/>
                <w:sz w:val="22"/>
                <w:szCs w:val="22"/>
              </w:rPr>
              <w:t>М</w:t>
            </w:r>
            <w:r w:rsidRPr="00C70AF1">
              <w:rPr>
                <w:color w:val="000000"/>
                <w:sz w:val="22"/>
                <w:szCs w:val="22"/>
              </w:rPr>
              <w:t xml:space="preserve">асса не более (кг): </w:t>
            </w:r>
          </w:p>
        </w:tc>
        <w:tc>
          <w:tcPr>
            <w:tcW w:w="4536" w:type="dxa"/>
            <w:tcBorders>
              <w:top w:val="single" w:sz="4" w:space="0" w:color="7F7F7F"/>
              <w:left w:val="single" w:sz="4" w:space="0" w:color="7F7F7F"/>
              <w:bottom w:val="single" w:sz="4" w:space="0" w:color="7F7F7F"/>
              <w:right w:val="single" w:sz="4" w:space="0" w:color="7F7F7F"/>
            </w:tcBorders>
          </w:tcPr>
          <w:p w:rsidR="00806582" w:rsidRPr="00C70AF1" w:rsidRDefault="00C70AF1" w:rsidP="00806582">
            <w:pPr>
              <w:shd w:val="clear" w:color="auto" w:fill="FFFFFF"/>
              <w:spacing w:before="100" w:beforeAutospacing="1" w:after="100" w:afterAutospacing="1"/>
              <w:jc w:val="both"/>
              <w:rPr>
                <w:color w:val="000000"/>
                <w:sz w:val="22"/>
                <w:szCs w:val="22"/>
              </w:rPr>
            </w:pPr>
            <w:r w:rsidRPr="00C70AF1">
              <w:rPr>
                <w:color w:val="000000"/>
                <w:sz w:val="22"/>
                <w:szCs w:val="22"/>
              </w:rPr>
              <w:t>5,2</w:t>
            </w:r>
          </w:p>
        </w:tc>
      </w:tr>
      <w:tr w:rsidR="00C57641" w:rsidRPr="00C70AF1" w:rsidTr="00FC59C7">
        <w:tc>
          <w:tcPr>
            <w:tcW w:w="688" w:type="dxa"/>
            <w:shd w:val="clear" w:color="auto" w:fill="auto"/>
          </w:tcPr>
          <w:p w:rsidR="00C57641" w:rsidRPr="00C70AF1" w:rsidRDefault="00C57641" w:rsidP="00FC59C7">
            <w:pPr>
              <w:rPr>
                <w:sz w:val="22"/>
                <w:szCs w:val="22"/>
              </w:rPr>
            </w:pPr>
          </w:p>
        </w:tc>
        <w:tc>
          <w:tcPr>
            <w:tcW w:w="9566" w:type="dxa"/>
            <w:tcBorders>
              <w:top w:val="single" w:sz="4" w:space="0" w:color="7F7F7F"/>
              <w:left w:val="single" w:sz="4" w:space="0" w:color="7F7F7F"/>
              <w:bottom w:val="single" w:sz="4" w:space="0" w:color="7F7F7F"/>
              <w:right w:val="single" w:sz="4" w:space="0" w:color="7F7F7F"/>
            </w:tcBorders>
          </w:tcPr>
          <w:p w:rsidR="00C57641" w:rsidRPr="00C70AF1" w:rsidRDefault="00C57641" w:rsidP="00C70AF1">
            <w:pPr>
              <w:shd w:val="clear" w:color="auto" w:fill="FFFFFF"/>
              <w:spacing w:before="100" w:beforeAutospacing="1" w:after="100" w:afterAutospacing="1"/>
              <w:jc w:val="both"/>
              <w:rPr>
                <w:color w:val="000000"/>
                <w:sz w:val="22"/>
                <w:szCs w:val="22"/>
              </w:rPr>
            </w:pPr>
            <w:r>
              <w:rPr>
                <w:color w:val="000000"/>
                <w:sz w:val="22"/>
                <w:szCs w:val="22"/>
              </w:rPr>
              <w:t>Комплектация:</w:t>
            </w:r>
          </w:p>
        </w:tc>
        <w:tc>
          <w:tcPr>
            <w:tcW w:w="4536" w:type="dxa"/>
            <w:tcBorders>
              <w:top w:val="single" w:sz="4" w:space="0" w:color="7F7F7F"/>
              <w:left w:val="single" w:sz="4" w:space="0" w:color="7F7F7F"/>
              <w:bottom w:val="single" w:sz="4" w:space="0" w:color="7F7F7F"/>
              <w:right w:val="single" w:sz="4" w:space="0" w:color="7F7F7F"/>
            </w:tcBorders>
          </w:tcPr>
          <w:p w:rsidR="00C57641" w:rsidRPr="00C57641" w:rsidRDefault="00C57641" w:rsidP="00C57641">
            <w:pPr>
              <w:shd w:val="clear" w:color="auto" w:fill="FFFFFF"/>
              <w:spacing w:after="150"/>
              <w:jc w:val="both"/>
              <w:rPr>
                <w:color w:val="000000"/>
                <w:sz w:val="21"/>
                <w:szCs w:val="21"/>
              </w:rPr>
            </w:pPr>
            <w:r w:rsidRPr="00C57641">
              <w:rPr>
                <w:color w:val="000000"/>
              </w:rPr>
              <w:t>электронный блок, три излучателя, шпатель, кабель, предохранители.</w:t>
            </w:r>
          </w:p>
          <w:p w:rsidR="00C57641" w:rsidRPr="00C70AF1" w:rsidRDefault="00C57641" w:rsidP="00806582">
            <w:pPr>
              <w:shd w:val="clear" w:color="auto" w:fill="FFFFFF"/>
              <w:spacing w:before="100" w:beforeAutospacing="1" w:after="100" w:afterAutospacing="1"/>
              <w:jc w:val="both"/>
              <w:rPr>
                <w:color w:val="000000"/>
                <w:sz w:val="22"/>
                <w:szCs w:val="22"/>
              </w:rPr>
            </w:pPr>
          </w:p>
        </w:tc>
      </w:tr>
    </w:tbl>
    <w:p w:rsidR="00E93AF5" w:rsidRPr="00C70AF1" w:rsidRDefault="00E93AF5" w:rsidP="00E16920">
      <w:pPr>
        <w:ind w:firstLine="708"/>
        <w:contextualSpacing/>
        <w:rPr>
          <w:sz w:val="22"/>
          <w:szCs w:val="22"/>
        </w:rPr>
      </w:pPr>
    </w:p>
    <w:p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r w:rsidRPr="00E93AF5">
              <w:t>Сроки  поставки.</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в течение  30 (тридцати) календарных дней после подписания Поставщиком и Получателем товарной накладной формы (ТОРГ-12), акта ввода в эксплуатацию.</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0E" w:rsidRDefault="00CE5D0E">
      <w:r>
        <w:separator/>
      </w:r>
    </w:p>
  </w:endnote>
  <w:endnote w:type="continuationSeparator" w:id="0">
    <w:p w:rsidR="00CE5D0E" w:rsidRDefault="00C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D5CB9" w:rsidRDefault="00CD5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CD5CB9" w:rsidRDefault="00CD5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0E" w:rsidRDefault="00CE5D0E">
      <w:r>
        <w:separator/>
      </w:r>
    </w:p>
  </w:footnote>
  <w:footnote w:type="continuationSeparator" w:id="0">
    <w:p w:rsidR="00CE5D0E" w:rsidRDefault="00C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22CB"/>
    <w:rsid w:val="009D474A"/>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53B9"/>
    <w:rsid w:val="00B06895"/>
    <w:rsid w:val="00B077C7"/>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8D3A9"/>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ndale Sans UI">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507B"/>
    <w:rsid w:val="00370702"/>
    <w:rsid w:val="00372FCF"/>
    <w:rsid w:val="003A45C9"/>
    <w:rsid w:val="003D3A79"/>
    <w:rsid w:val="00464C8D"/>
    <w:rsid w:val="00522080"/>
    <w:rsid w:val="00554D64"/>
    <w:rsid w:val="005A1122"/>
    <w:rsid w:val="005F5B21"/>
    <w:rsid w:val="0060785A"/>
    <w:rsid w:val="006955DB"/>
    <w:rsid w:val="006D6C57"/>
    <w:rsid w:val="007D1B93"/>
    <w:rsid w:val="008155A5"/>
    <w:rsid w:val="008712CB"/>
    <w:rsid w:val="008E1E57"/>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16310-3804-4C68-8BA9-C4897690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10881</Words>
  <Characters>62024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72760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2022-11-28T11:46:00Z</cp:lastPrinted>
  <dcterms:created xsi:type="dcterms:W3CDTF">2022-12-02T05:10:00Z</dcterms:created>
  <dcterms:modified xsi:type="dcterms:W3CDTF">2022-12-02T05:52:00Z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